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290DA7" w:rsidRDefault="003763DA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8866AC" w:rsidRDefault="00B3676B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2393 6565</w:t>
                                  </w:r>
                                </w:p>
                              </w:tc>
                            </w:tr>
                          </w:tbl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B3676B" w:rsidRPr="008866AC" w:rsidRDefault="00B3676B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2393 6565</w:t>
                            </w:r>
                          </w:p>
                        </w:tc>
                      </w:tr>
                    </w:tbl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10" w:name="_GoBack"/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0"/>
      <w:r w:rsidR="000A410B" w:rsidRPr="00290DA7">
        <w:rPr>
          <w:sz w:val="22"/>
          <w:szCs w:val="22"/>
        </w:rPr>
        <w:t>Persbericht</w:t>
      </w:r>
    </w:p>
    <w:p w:rsidR="00125D0E" w:rsidRPr="00290DA7" w:rsidRDefault="003763DA" w:rsidP="009806B5">
      <w:pPr>
        <w:pStyle w:val="40Continoustext11pt"/>
        <w:rPr>
          <w:szCs w:val="2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2225369" wp14:editId="29E6D75C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6E43F4" w:rsidRDefault="00B3676B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r w:rsidR="008E2986">
                              <w:rPr>
                                <w:noProof/>
                              </w:rPr>
                              <w:t>6</w:t>
                            </w:r>
                            <w:r w:rsidR="00BA107D">
                              <w:rPr>
                                <w:noProof/>
                              </w:rPr>
                              <w:t xml:space="preserve"> juli</w:t>
                            </w:r>
                            <w:r w:rsidR="009A6F35">
                              <w:rPr>
                                <w:noProof/>
                              </w:rPr>
                              <w:t xml:space="preserve"> 2015</w:t>
                            </w:r>
                          </w:p>
                          <w:p w:rsidR="00B3676B" w:rsidRPr="006E43F4" w:rsidRDefault="00B3676B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    <v:textbox inset="0,0,0,0">
                  <w:txbxContent>
                    <w:p w:rsidR="00B3676B" w:rsidRPr="006E43F4" w:rsidRDefault="00B3676B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r w:rsidR="008E2986">
                        <w:rPr>
                          <w:noProof/>
                        </w:rPr>
                        <w:t>6</w:t>
                      </w:r>
                      <w:r w:rsidR="00BA107D">
                        <w:rPr>
                          <w:noProof/>
                        </w:rPr>
                        <w:t xml:space="preserve"> juli</w:t>
                      </w:r>
                      <w:r w:rsidR="009A6F35">
                        <w:rPr>
                          <w:noProof/>
                        </w:rPr>
                        <w:t xml:space="preserve"> 2015</w:t>
                      </w:r>
                    </w:p>
                    <w:p w:rsidR="00B3676B" w:rsidRPr="006E43F4" w:rsidRDefault="00B3676B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25D0E" w:rsidRPr="00290DA7" w:rsidRDefault="00125D0E" w:rsidP="00125D0E"/>
    <w:p w:rsidR="00125D0E" w:rsidRPr="00290DA7" w:rsidRDefault="00125D0E" w:rsidP="00125D0E"/>
    <w:p w:rsidR="00125D0E" w:rsidRPr="00290DA7" w:rsidRDefault="00125D0E" w:rsidP="00125D0E"/>
    <w:p w:rsidR="00125D0E" w:rsidRPr="00290DA7" w:rsidRDefault="00125D0E" w:rsidP="00125D0E">
      <w:pPr>
        <w:rPr>
          <w:rFonts w:ascii="CorpoSLig" w:hAnsi="CorpoSLig"/>
          <w:sz w:val="36"/>
          <w:szCs w:val="36"/>
        </w:rPr>
      </w:pPr>
    </w:p>
    <w:p w:rsidR="00125D0E" w:rsidRPr="00290DA7" w:rsidRDefault="00125D0E" w:rsidP="00125D0E">
      <w:pPr>
        <w:spacing w:after="0" w:line="360" w:lineRule="auto"/>
        <w:rPr>
          <w:rFonts w:ascii="CorpoSLig" w:hAnsi="CorpoSLig"/>
          <w:sz w:val="36"/>
          <w:szCs w:val="36"/>
        </w:rPr>
      </w:pPr>
    </w:p>
    <w:p w:rsidR="009C706A" w:rsidRDefault="008E2986" w:rsidP="009C706A">
      <w:pPr>
        <w:pStyle w:val="40Continoustext11pt"/>
        <w:spacing w:after="0" w:line="240" w:lineRule="auto"/>
        <w:rPr>
          <w:rFonts w:cs="Arial"/>
          <w:b/>
          <w:sz w:val="36"/>
          <w:szCs w:val="36"/>
          <w:lang w:val="nl-NL"/>
        </w:rPr>
      </w:pPr>
      <w:r w:rsidRPr="009C706A">
        <w:rPr>
          <w:rFonts w:cs="Arial"/>
          <w:b/>
          <w:sz w:val="36"/>
          <w:szCs w:val="36"/>
          <w:lang w:val="nl-NL"/>
        </w:rPr>
        <w:t>Verkooprecord</w:t>
      </w:r>
      <w:r w:rsidR="00EE4776" w:rsidRPr="009C706A">
        <w:rPr>
          <w:rFonts w:cs="Arial"/>
          <w:b/>
          <w:sz w:val="36"/>
          <w:szCs w:val="36"/>
          <w:lang w:val="nl-NL"/>
        </w:rPr>
        <w:t xml:space="preserve"> voor Mercedes-Benz in </w:t>
      </w:r>
    </w:p>
    <w:p w:rsidR="00972CFF" w:rsidRPr="009C706A" w:rsidRDefault="00EE4776" w:rsidP="009C706A">
      <w:pPr>
        <w:pStyle w:val="40Continoustext11pt"/>
        <w:spacing w:after="0" w:line="240" w:lineRule="auto"/>
        <w:rPr>
          <w:rFonts w:cs="Arial"/>
          <w:b/>
          <w:bCs/>
          <w:sz w:val="36"/>
          <w:szCs w:val="36"/>
          <w:lang w:val="nl-NL"/>
        </w:rPr>
      </w:pPr>
      <w:r w:rsidRPr="009C706A">
        <w:rPr>
          <w:rFonts w:cs="Arial"/>
          <w:b/>
          <w:sz w:val="36"/>
          <w:szCs w:val="36"/>
          <w:lang w:val="nl-NL"/>
        </w:rPr>
        <w:t>eerste helft 2015</w:t>
      </w:r>
    </w:p>
    <w:p w:rsidR="00972CFF" w:rsidRPr="00492AE5" w:rsidRDefault="00972CFF" w:rsidP="00972CFF">
      <w:pPr>
        <w:pStyle w:val="40Continoustext11pt"/>
        <w:spacing w:after="0" w:line="360" w:lineRule="auto"/>
        <w:rPr>
          <w:rFonts w:ascii="Arial" w:hAnsi="Arial" w:cs="Arial"/>
          <w:lang w:val="nl-NL"/>
        </w:rPr>
      </w:pPr>
    </w:p>
    <w:p w:rsidR="00EE4776" w:rsidRPr="009C706A" w:rsidRDefault="009C706A" w:rsidP="00EE4776">
      <w:pPr>
        <w:pStyle w:val="Default"/>
        <w:numPr>
          <w:ilvl w:val="0"/>
          <w:numId w:val="33"/>
        </w:numPr>
        <w:spacing w:line="360" w:lineRule="auto"/>
        <w:rPr>
          <w:rFonts w:cs="Arial"/>
          <w:sz w:val="22"/>
          <w:szCs w:val="22"/>
        </w:rPr>
      </w:pPr>
      <w:r w:rsidRPr="009C706A">
        <w:rPr>
          <w:rFonts w:cs="Arial"/>
          <w:b/>
          <w:bCs/>
          <w:sz w:val="22"/>
          <w:szCs w:val="22"/>
        </w:rPr>
        <w:t>V</w:t>
      </w:r>
      <w:r w:rsidR="008E2986" w:rsidRPr="009C706A">
        <w:rPr>
          <w:rFonts w:cs="Arial"/>
          <w:b/>
          <w:bCs/>
          <w:sz w:val="22"/>
          <w:szCs w:val="22"/>
        </w:rPr>
        <w:t xml:space="preserve">erkoop </w:t>
      </w:r>
      <w:r w:rsidRPr="009C706A">
        <w:rPr>
          <w:rFonts w:cs="Arial"/>
          <w:b/>
          <w:bCs/>
          <w:sz w:val="22"/>
          <w:szCs w:val="22"/>
        </w:rPr>
        <w:t xml:space="preserve">wereldwijd </w:t>
      </w:r>
      <w:r w:rsidR="008E2986" w:rsidRPr="009C706A">
        <w:rPr>
          <w:rFonts w:cs="Arial"/>
          <w:b/>
          <w:bCs/>
          <w:sz w:val="22"/>
          <w:szCs w:val="22"/>
        </w:rPr>
        <w:t>in juni met</w:t>
      </w:r>
      <w:r w:rsidR="00EE4776" w:rsidRPr="009C706A">
        <w:rPr>
          <w:rFonts w:cs="Arial"/>
          <w:b/>
          <w:bCs/>
          <w:sz w:val="22"/>
          <w:szCs w:val="22"/>
        </w:rPr>
        <w:t xml:space="preserve"> 19</w:t>
      </w:r>
      <w:r w:rsidR="008E2986" w:rsidRPr="009C706A">
        <w:rPr>
          <w:rFonts w:cs="Arial"/>
          <w:b/>
          <w:bCs/>
          <w:sz w:val="22"/>
          <w:szCs w:val="22"/>
        </w:rPr>
        <w:t>,</w:t>
      </w:r>
      <w:r w:rsidR="00EE4776" w:rsidRPr="009C706A">
        <w:rPr>
          <w:rFonts w:cs="Arial"/>
          <w:b/>
          <w:bCs/>
          <w:sz w:val="22"/>
          <w:szCs w:val="22"/>
        </w:rPr>
        <w:t xml:space="preserve">3% </w:t>
      </w:r>
      <w:r w:rsidR="008E2986" w:rsidRPr="009C706A">
        <w:rPr>
          <w:rFonts w:cs="Arial"/>
          <w:b/>
          <w:bCs/>
          <w:sz w:val="22"/>
          <w:szCs w:val="22"/>
        </w:rPr>
        <w:t>gestegen tot</w:t>
      </w:r>
      <w:r w:rsidR="00EE4776" w:rsidRPr="009C706A">
        <w:rPr>
          <w:rFonts w:cs="Arial"/>
          <w:b/>
          <w:bCs/>
          <w:sz w:val="22"/>
          <w:szCs w:val="22"/>
        </w:rPr>
        <w:t xml:space="preserve"> 169</w:t>
      </w:r>
      <w:r w:rsidR="008E2986" w:rsidRPr="009C706A">
        <w:rPr>
          <w:rFonts w:cs="Arial"/>
          <w:b/>
          <w:bCs/>
          <w:sz w:val="22"/>
          <w:szCs w:val="22"/>
        </w:rPr>
        <w:t>.</w:t>
      </w:r>
      <w:r w:rsidR="00EE4776" w:rsidRPr="009C706A">
        <w:rPr>
          <w:rFonts w:cs="Arial"/>
          <w:b/>
          <w:bCs/>
          <w:sz w:val="22"/>
          <w:szCs w:val="22"/>
        </w:rPr>
        <w:t xml:space="preserve">616 </w:t>
      </w:r>
      <w:r w:rsidR="008E2986" w:rsidRPr="009C706A">
        <w:rPr>
          <w:rFonts w:cs="Arial"/>
          <w:b/>
          <w:bCs/>
          <w:sz w:val="22"/>
          <w:szCs w:val="22"/>
        </w:rPr>
        <w:t>auto’s en in eerste zes maanden met 14,7% tot</w:t>
      </w:r>
      <w:r w:rsidR="00EE4776" w:rsidRPr="009C706A">
        <w:rPr>
          <w:rFonts w:cs="Arial"/>
          <w:b/>
          <w:bCs/>
          <w:sz w:val="22"/>
          <w:szCs w:val="22"/>
        </w:rPr>
        <w:t xml:space="preserve"> 898</w:t>
      </w:r>
      <w:r w:rsidR="008E2986" w:rsidRPr="009C706A">
        <w:rPr>
          <w:rFonts w:cs="Arial"/>
          <w:b/>
          <w:bCs/>
          <w:sz w:val="22"/>
          <w:szCs w:val="22"/>
        </w:rPr>
        <w:t>.</w:t>
      </w:r>
      <w:r w:rsidR="00EE4776" w:rsidRPr="009C706A">
        <w:rPr>
          <w:rFonts w:cs="Arial"/>
          <w:b/>
          <w:bCs/>
          <w:sz w:val="22"/>
          <w:szCs w:val="22"/>
        </w:rPr>
        <w:t xml:space="preserve">425 </w:t>
      </w:r>
      <w:r w:rsidR="008E2986" w:rsidRPr="009C706A">
        <w:rPr>
          <w:rFonts w:cs="Arial"/>
          <w:b/>
          <w:bCs/>
          <w:sz w:val="22"/>
          <w:szCs w:val="22"/>
        </w:rPr>
        <w:t>auto’s</w:t>
      </w:r>
      <w:r w:rsidR="00EE4776" w:rsidRPr="009C706A">
        <w:rPr>
          <w:rFonts w:cs="Arial"/>
          <w:b/>
          <w:bCs/>
          <w:sz w:val="22"/>
          <w:szCs w:val="22"/>
        </w:rPr>
        <w:t xml:space="preserve"> </w:t>
      </w:r>
    </w:p>
    <w:p w:rsidR="008E2986" w:rsidRPr="009C706A" w:rsidRDefault="008E2986" w:rsidP="00EE4776">
      <w:pPr>
        <w:pStyle w:val="Default"/>
        <w:numPr>
          <w:ilvl w:val="0"/>
          <w:numId w:val="33"/>
        </w:numPr>
        <w:spacing w:line="360" w:lineRule="auto"/>
        <w:rPr>
          <w:rFonts w:cs="Arial"/>
          <w:b/>
          <w:sz w:val="22"/>
          <w:szCs w:val="22"/>
        </w:rPr>
      </w:pPr>
      <w:r w:rsidRPr="009C706A">
        <w:rPr>
          <w:rFonts w:cs="Arial"/>
          <w:b/>
          <w:sz w:val="22"/>
          <w:szCs w:val="22"/>
        </w:rPr>
        <w:t>16,5% groei in Duitsland en 17,2% in Groot-Brittannië in juni</w:t>
      </w:r>
    </w:p>
    <w:p w:rsidR="00EE4776" w:rsidRPr="009C706A" w:rsidRDefault="008E2986" w:rsidP="00EE4776">
      <w:pPr>
        <w:pStyle w:val="Default"/>
        <w:numPr>
          <w:ilvl w:val="0"/>
          <w:numId w:val="33"/>
        </w:numPr>
        <w:spacing w:line="360" w:lineRule="auto"/>
        <w:rPr>
          <w:rFonts w:cs="Arial"/>
          <w:sz w:val="22"/>
          <w:szCs w:val="22"/>
        </w:rPr>
      </w:pPr>
      <w:r w:rsidRPr="009C706A">
        <w:rPr>
          <w:rFonts w:cs="Arial"/>
          <w:b/>
          <w:bCs/>
          <w:sz w:val="22"/>
          <w:szCs w:val="22"/>
        </w:rPr>
        <w:t>Verkooprecords voor</w:t>
      </w:r>
      <w:r w:rsidR="00EE4776" w:rsidRPr="009C706A">
        <w:rPr>
          <w:rFonts w:cs="Arial"/>
          <w:b/>
          <w:bCs/>
          <w:sz w:val="22"/>
          <w:szCs w:val="22"/>
        </w:rPr>
        <w:t xml:space="preserve"> CLA (+25</w:t>
      </w:r>
      <w:r w:rsidRPr="009C706A">
        <w:rPr>
          <w:rFonts w:cs="Arial"/>
          <w:b/>
          <w:bCs/>
          <w:sz w:val="22"/>
          <w:szCs w:val="22"/>
        </w:rPr>
        <w:t>,</w:t>
      </w:r>
      <w:r w:rsidR="00EE4776" w:rsidRPr="009C706A">
        <w:rPr>
          <w:rFonts w:cs="Arial"/>
          <w:b/>
          <w:bCs/>
          <w:sz w:val="22"/>
          <w:szCs w:val="22"/>
        </w:rPr>
        <w:t>5%)</w:t>
      </w:r>
      <w:r w:rsidR="00B306D4" w:rsidRPr="009C706A">
        <w:rPr>
          <w:rFonts w:cs="Arial"/>
          <w:b/>
          <w:bCs/>
          <w:sz w:val="22"/>
          <w:szCs w:val="22"/>
        </w:rPr>
        <w:t xml:space="preserve"> </w:t>
      </w:r>
      <w:r w:rsidR="009C706A">
        <w:rPr>
          <w:rFonts w:cs="Arial"/>
          <w:b/>
          <w:bCs/>
          <w:sz w:val="22"/>
          <w:szCs w:val="22"/>
        </w:rPr>
        <w:t>en</w:t>
      </w:r>
      <w:r w:rsidR="00EE4776" w:rsidRPr="009C706A">
        <w:rPr>
          <w:rFonts w:cs="Arial"/>
          <w:b/>
          <w:bCs/>
          <w:sz w:val="22"/>
          <w:szCs w:val="22"/>
        </w:rPr>
        <w:t xml:space="preserve"> C-</w:t>
      </w:r>
      <w:r w:rsidRPr="009C706A">
        <w:rPr>
          <w:rFonts w:cs="Arial"/>
          <w:b/>
          <w:bCs/>
          <w:sz w:val="22"/>
          <w:szCs w:val="22"/>
        </w:rPr>
        <w:t xml:space="preserve">Klasse Limousine en </w:t>
      </w:r>
      <w:proofErr w:type="spellStart"/>
      <w:r w:rsidR="00EE4776" w:rsidRPr="009C706A">
        <w:rPr>
          <w:rFonts w:cs="Arial"/>
          <w:b/>
          <w:bCs/>
          <w:sz w:val="22"/>
          <w:szCs w:val="22"/>
        </w:rPr>
        <w:t>Estate</w:t>
      </w:r>
      <w:proofErr w:type="spellEnd"/>
      <w:r w:rsidR="00EE4776" w:rsidRPr="009C706A">
        <w:rPr>
          <w:rFonts w:cs="Arial"/>
          <w:b/>
          <w:bCs/>
          <w:sz w:val="22"/>
          <w:szCs w:val="22"/>
        </w:rPr>
        <w:t xml:space="preserve"> (+58</w:t>
      </w:r>
      <w:r w:rsidRPr="009C706A">
        <w:rPr>
          <w:rFonts w:cs="Arial"/>
          <w:b/>
          <w:bCs/>
          <w:sz w:val="22"/>
          <w:szCs w:val="22"/>
        </w:rPr>
        <w:t>,</w:t>
      </w:r>
      <w:r w:rsidR="00EE4776" w:rsidRPr="009C706A">
        <w:rPr>
          <w:rFonts w:cs="Arial"/>
          <w:b/>
          <w:bCs/>
          <w:sz w:val="22"/>
          <w:szCs w:val="22"/>
        </w:rPr>
        <w:t xml:space="preserve">7%) </w:t>
      </w:r>
      <w:r w:rsidR="009C706A" w:rsidRPr="009C706A">
        <w:rPr>
          <w:rFonts w:cs="Arial"/>
          <w:b/>
          <w:bCs/>
          <w:sz w:val="22"/>
          <w:szCs w:val="22"/>
        </w:rPr>
        <w:t>in eerste helft 2015</w:t>
      </w:r>
    </w:p>
    <w:p w:rsidR="00EE4776" w:rsidRPr="009C706A" w:rsidRDefault="00EE4776" w:rsidP="00EE4776">
      <w:pPr>
        <w:pStyle w:val="Default"/>
        <w:spacing w:line="360" w:lineRule="auto"/>
        <w:rPr>
          <w:rFonts w:cs="Arial"/>
          <w:sz w:val="22"/>
          <w:szCs w:val="22"/>
        </w:rPr>
      </w:pPr>
    </w:p>
    <w:p w:rsidR="00BB5902" w:rsidRPr="009C706A" w:rsidRDefault="00BB5902" w:rsidP="00EE4776">
      <w:pPr>
        <w:pStyle w:val="Default"/>
        <w:spacing w:line="360" w:lineRule="auto"/>
        <w:rPr>
          <w:rFonts w:cs="Arial"/>
          <w:b/>
          <w:sz w:val="22"/>
          <w:szCs w:val="22"/>
        </w:rPr>
      </w:pPr>
      <w:r w:rsidRPr="009C706A">
        <w:rPr>
          <w:rFonts w:cs="Arial"/>
          <w:b/>
          <w:sz w:val="22"/>
          <w:szCs w:val="22"/>
        </w:rPr>
        <w:t>Met</w:t>
      </w:r>
      <w:r w:rsidR="00EE4776" w:rsidRPr="009C706A">
        <w:rPr>
          <w:rFonts w:cs="Arial"/>
          <w:b/>
          <w:sz w:val="22"/>
          <w:szCs w:val="22"/>
        </w:rPr>
        <w:t xml:space="preserve"> 898</w:t>
      </w:r>
      <w:r w:rsidRPr="009C706A">
        <w:rPr>
          <w:rFonts w:cs="Arial"/>
          <w:b/>
          <w:sz w:val="22"/>
          <w:szCs w:val="22"/>
        </w:rPr>
        <w:t>.</w:t>
      </w:r>
      <w:r w:rsidR="00EE4776" w:rsidRPr="009C706A">
        <w:rPr>
          <w:rFonts w:cs="Arial"/>
          <w:b/>
          <w:sz w:val="22"/>
          <w:szCs w:val="22"/>
        </w:rPr>
        <w:t xml:space="preserve">425 </w:t>
      </w:r>
      <w:r w:rsidRPr="009C706A">
        <w:rPr>
          <w:rFonts w:cs="Arial"/>
          <w:b/>
          <w:sz w:val="22"/>
          <w:szCs w:val="22"/>
        </w:rPr>
        <w:t>afgeleverde auto’s in de eerste zes maanden van 2015 (+14,7%) heef</w:t>
      </w:r>
      <w:r w:rsidR="009C706A">
        <w:rPr>
          <w:rFonts w:cs="Arial"/>
          <w:b/>
          <w:sz w:val="22"/>
          <w:szCs w:val="22"/>
        </w:rPr>
        <w:t>t Mercedes-Benz de sterkste half</w:t>
      </w:r>
      <w:r w:rsidRPr="009C706A">
        <w:rPr>
          <w:rFonts w:cs="Arial"/>
          <w:b/>
          <w:sz w:val="22"/>
          <w:szCs w:val="22"/>
        </w:rPr>
        <w:t>jaar</w:t>
      </w:r>
      <w:r w:rsidR="009C706A">
        <w:rPr>
          <w:rFonts w:cs="Arial"/>
          <w:b/>
          <w:sz w:val="22"/>
          <w:szCs w:val="22"/>
        </w:rPr>
        <w:t>cijfers</w:t>
      </w:r>
      <w:r w:rsidRPr="009C706A">
        <w:rPr>
          <w:rFonts w:cs="Arial"/>
          <w:b/>
          <w:sz w:val="22"/>
          <w:szCs w:val="22"/>
        </w:rPr>
        <w:t xml:space="preserve"> in de geschiedenis van de onderneming gerealiseerd. Het tweede kwartaal van het jaar overtrof tevens alle voorgaande kwartalen </w:t>
      </w:r>
      <w:r w:rsidR="009C706A">
        <w:rPr>
          <w:rFonts w:cs="Arial"/>
          <w:b/>
          <w:sz w:val="22"/>
          <w:szCs w:val="22"/>
        </w:rPr>
        <w:t xml:space="preserve">voor </w:t>
      </w:r>
      <w:r w:rsidRPr="009C706A">
        <w:rPr>
          <w:rFonts w:cs="Arial"/>
          <w:b/>
          <w:sz w:val="22"/>
          <w:szCs w:val="22"/>
        </w:rPr>
        <w:t xml:space="preserve">wat </w:t>
      </w:r>
      <w:r w:rsidR="009C706A">
        <w:rPr>
          <w:rFonts w:cs="Arial"/>
          <w:b/>
          <w:sz w:val="22"/>
          <w:szCs w:val="22"/>
        </w:rPr>
        <w:t xml:space="preserve">betreft de </w:t>
      </w:r>
      <w:r w:rsidRPr="009C706A">
        <w:rPr>
          <w:rFonts w:cs="Arial"/>
          <w:b/>
          <w:sz w:val="22"/>
          <w:szCs w:val="22"/>
        </w:rPr>
        <w:t xml:space="preserve">verkopen. In juni </w:t>
      </w:r>
      <w:r w:rsidR="009C706A">
        <w:rPr>
          <w:rFonts w:cs="Arial"/>
          <w:b/>
          <w:sz w:val="22"/>
          <w:szCs w:val="22"/>
        </w:rPr>
        <w:t>werden</w:t>
      </w:r>
      <w:r w:rsidRPr="009C706A">
        <w:rPr>
          <w:rFonts w:cs="Arial"/>
          <w:b/>
          <w:sz w:val="22"/>
          <w:szCs w:val="22"/>
        </w:rPr>
        <w:t xml:space="preserve"> 169.616 auto’s aan klanten af</w:t>
      </w:r>
      <w:r w:rsidR="009C706A">
        <w:rPr>
          <w:rFonts w:cs="Arial"/>
          <w:b/>
          <w:sz w:val="22"/>
          <w:szCs w:val="22"/>
        </w:rPr>
        <w:t>geleverd</w:t>
      </w:r>
      <w:r w:rsidRPr="009C706A">
        <w:rPr>
          <w:rFonts w:cs="Arial"/>
          <w:b/>
          <w:sz w:val="22"/>
          <w:szCs w:val="22"/>
        </w:rPr>
        <w:t>, een toename van 19,3%. Het verkoopsucces is te danken aan de grote vraag naar SUV’s en de C-Klasse Limousine en Estate.</w:t>
      </w:r>
    </w:p>
    <w:p w:rsidR="00EE4776" w:rsidRPr="009C706A" w:rsidRDefault="00EE4776" w:rsidP="00EE4776">
      <w:pPr>
        <w:pStyle w:val="Default"/>
        <w:spacing w:line="360" w:lineRule="auto"/>
        <w:rPr>
          <w:rFonts w:cs="Arial"/>
          <w:sz w:val="22"/>
          <w:szCs w:val="22"/>
        </w:rPr>
      </w:pPr>
    </w:p>
    <w:p w:rsidR="00EE4776" w:rsidRPr="009C706A" w:rsidRDefault="00EE4776" w:rsidP="00686429">
      <w:pPr>
        <w:pStyle w:val="Default"/>
        <w:spacing w:line="360" w:lineRule="auto"/>
        <w:rPr>
          <w:rFonts w:cs="Arial"/>
          <w:sz w:val="22"/>
          <w:szCs w:val="22"/>
        </w:rPr>
      </w:pPr>
      <w:r w:rsidRPr="009C706A">
        <w:rPr>
          <w:rFonts w:cs="Arial"/>
          <w:sz w:val="22"/>
          <w:szCs w:val="22"/>
        </w:rPr>
        <w:t>“</w:t>
      </w:r>
      <w:r w:rsidR="00BB5902" w:rsidRPr="009C706A">
        <w:rPr>
          <w:rFonts w:cs="Arial"/>
          <w:sz w:val="22"/>
          <w:szCs w:val="22"/>
        </w:rPr>
        <w:t xml:space="preserve">In juni sloot Mercedes-Benz </w:t>
      </w:r>
      <w:r w:rsidR="00875CC9">
        <w:rPr>
          <w:rFonts w:cs="Arial"/>
          <w:sz w:val="22"/>
          <w:szCs w:val="22"/>
        </w:rPr>
        <w:t>niet alleen het</w:t>
      </w:r>
      <w:r w:rsidR="00BB5902" w:rsidRPr="009C706A">
        <w:rPr>
          <w:rFonts w:cs="Arial"/>
          <w:sz w:val="22"/>
          <w:szCs w:val="22"/>
        </w:rPr>
        <w:t xml:space="preserve"> beste</w:t>
      </w:r>
      <w:r w:rsidR="00875CC9">
        <w:rPr>
          <w:rFonts w:cs="Arial"/>
          <w:sz w:val="22"/>
          <w:szCs w:val="22"/>
        </w:rPr>
        <w:t xml:space="preserve"> eerste halfjaar</w:t>
      </w:r>
      <w:r w:rsidR="00686429" w:rsidRPr="009C706A">
        <w:rPr>
          <w:rFonts w:cs="Arial"/>
          <w:sz w:val="22"/>
          <w:szCs w:val="22"/>
        </w:rPr>
        <w:t xml:space="preserve"> ooit af</w:t>
      </w:r>
      <w:r w:rsidR="00875CC9">
        <w:rPr>
          <w:rFonts w:cs="Arial"/>
          <w:sz w:val="22"/>
          <w:szCs w:val="22"/>
        </w:rPr>
        <w:t xml:space="preserve">, het was met 38,5% voor ons ook </w:t>
      </w:r>
      <w:r w:rsidR="00686429" w:rsidRPr="009C706A">
        <w:rPr>
          <w:rFonts w:cs="Arial"/>
          <w:sz w:val="22"/>
          <w:szCs w:val="22"/>
        </w:rPr>
        <w:t>de sterkste verkoopmaand ooit in China,” verklaart</w:t>
      </w:r>
      <w:r w:rsidRPr="009C706A">
        <w:rPr>
          <w:rFonts w:cs="Arial"/>
          <w:sz w:val="22"/>
          <w:szCs w:val="22"/>
        </w:rPr>
        <w:t xml:space="preserve"> Ola Källenius, </w:t>
      </w:r>
      <w:r w:rsidR="00686429" w:rsidRPr="009C706A">
        <w:rPr>
          <w:rFonts w:cs="Arial"/>
          <w:sz w:val="22"/>
          <w:szCs w:val="22"/>
        </w:rPr>
        <w:t xml:space="preserve">Lid van de Raad van Bestuur van Daimler AG en verantwoordelijk voor </w:t>
      </w:r>
      <w:r w:rsidRPr="009C706A">
        <w:rPr>
          <w:rFonts w:cs="Arial"/>
          <w:sz w:val="22"/>
          <w:szCs w:val="22"/>
        </w:rPr>
        <w:t xml:space="preserve">Mercedes-Benz </w:t>
      </w:r>
      <w:r w:rsidR="00AD1CC1" w:rsidRPr="009C706A">
        <w:rPr>
          <w:rFonts w:cs="Arial"/>
          <w:sz w:val="22"/>
          <w:szCs w:val="22"/>
        </w:rPr>
        <w:t>Personenauto’s</w:t>
      </w:r>
      <w:r w:rsidRPr="009C706A">
        <w:rPr>
          <w:rFonts w:cs="Arial"/>
          <w:sz w:val="22"/>
          <w:szCs w:val="22"/>
        </w:rPr>
        <w:t xml:space="preserve"> Marketing &amp; Sales. </w:t>
      </w:r>
    </w:p>
    <w:p w:rsidR="00EE4776" w:rsidRPr="009C706A" w:rsidRDefault="00EE4776" w:rsidP="00EE4776">
      <w:pPr>
        <w:pStyle w:val="Default"/>
        <w:spacing w:line="360" w:lineRule="auto"/>
        <w:rPr>
          <w:rFonts w:cs="Arial"/>
          <w:sz w:val="22"/>
          <w:szCs w:val="22"/>
        </w:rPr>
      </w:pPr>
    </w:p>
    <w:p w:rsidR="00686429" w:rsidRPr="009C706A" w:rsidRDefault="00686429" w:rsidP="00EE4776">
      <w:pPr>
        <w:pStyle w:val="Default"/>
        <w:spacing w:line="360" w:lineRule="auto"/>
        <w:rPr>
          <w:rFonts w:cs="Arial"/>
          <w:sz w:val="22"/>
          <w:szCs w:val="22"/>
        </w:rPr>
      </w:pPr>
      <w:r w:rsidRPr="009C706A">
        <w:rPr>
          <w:rFonts w:cs="Arial"/>
          <w:sz w:val="22"/>
          <w:szCs w:val="22"/>
        </w:rPr>
        <w:t>In Europ</w:t>
      </w:r>
      <w:r w:rsidR="00B306D4" w:rsidRPr="009C706A">
        <w:rPr>
          <w:rFonts w:cs="Arial"/>
          <w:sz w:val="22"/>
          <w:szCs w:val="22"/>
        </w:rPr>
        <w:t>a</w:t>
      </w:r>
      <w:r w:rsidRPr="009C706A">
        <w:rPr>
          <w:rFonts w:cs="Arial"/>
          <w:sz w:val="22"/>
          <w:szCs w:val="22"/>
        </w:rPr>
        <w:t xml:space="preserve"> noteerde Mercedes-Benz zowel verkooprecords in de maand juni als in de volledige eerste helft van het jaar. Gedurende de eerste zes maanden van </w:t>
      </w:r>
      <w:r w:rsidRPr="009C706A">
        <w:rPr>
          <w:rFonts w:cs="Arial"/>
          <w:sz w:val="22"/>
          <w:szCs w:val="22"/>
        </w:rPr>
        <w:lastRenderedPageBreak/>
        <w:t xml:space="preserve">2015 stegen de verkopen met 11,2% naar 392.528 eenheden. In Duitsland werd een sterke groei gerealiseerd, met een verkooptoename tot 26.800 auto’s in juni (+16,5%). Daarmee blijft Mercedes-Benz de grootste fabrikant van premiumauto’s op haar thuismarkt. Nieuwe verkooprecords werden </w:t>
      </w:r>
      <w:r w:rsidR="00875CC9">
        <w:rPr>
          <w:rFonts w:cs="Arial"/>
          <w:sz w:val="22"/>
          <w:szCs w:val="22"/>
        </w:rPr>
        <w:t xml:space="preserve">zowel in juni als in het eerste halfjaar </w:t>
      </w:r>
      <w:r w:rsidRPr="009C706A">
        <w:rPr>
          <w:rFonts w:cs="Arial"/>
          <w:sz w:val="22"/>
          <w:szCs w:val="22"/>
        </w:rPr>
        <w:t>gevestigd in Groot-Britt</w:t>
      </w:r>
      <w:r w:rsidR="00875CC9">
        <w:rPr>
          <w:rFonts w:cs="Arial"/>
          <w:sz w:val="22"/>
          <w:szCs w:val="22"/>
        </w:rPr>
        <w:t>annië en Portugal</w:t>
      </w:r>
      <w:r w:rsidRPr="009C706A">
        <w:rPr>
          <w:rFonts w:cs="Arial"/>
          <w:sz w:val="22"/>
          <w:szCs w:val="22"/>
        </w:rPr>
        <w:t>. Ook in Spanje was de groei indrukwekkend, met een verkooptoename van 30% sinds het begin van het jaar.</w:t>
      </w:r>
    </w:p>
    <w:p w:rsidR="00EE4776" w:rsidRPr="009C706A" w:rsidRDefault="00EE4776" w:rsidP="00EE4776">
      <w:pPr>
        <w:pStyle w:val="Default"/>
        <w:spacing w:line="360" w:lineRule="auto"/>
        <w:rPr>
          <w:rFonts w:cs="Arial"/>
          <w:sz w:val="22"/>
          <w:szCs w:val="22"/>
        </w:rPr>
      </w:pPr>
    </w:p>
    <w:p w:rsidR="00686429" w:rsidRPr="009C706A" w:rsidRDefault="00686429" w:rsidP="00EE4776">
      <w:pPr>
        <w:pStyle w:val="Default"/>
        <w:spacing w:line="360" w:lineRule="auto"/>
        <w:rPr>
          <w:rFonts w:cs="Arial"/>
          <w:sz w:val="22"/>
          <w:szCs w:val="22"/>
        </w:rPr>
      </w:pPr>
      <w:r w:rsidRPr="009C706A">
        <w:rPr>
          <w:rFonts w:cs="Arial"/>
          <w:sz w:val="22"/>
          <w:szCs w:val="22"/>
        </w:rPr>
        <w:t xml:space="preserve">De vraag naar </w:t>
      </w:r>
      <w:r w:rsidR="00B306D4" w:rsidRPr="009C706A">
        <w:rPr>
          <w:rFonts w:cs="Arial"/>
          <w:sz w:val="22"/>
          <w:szCs w:val="22"/>
        </w:rPr>
        <w:t>modellen</w:t>
      </w:r>
      <w:r w:rsidRPr="009C706A">
        <w:rPr>
          <w:rFonts w:cs="Arial"/>
          <w:sz w:val="22"/>
          <w:szCs w:val="22"/>
        </w:rPr>
        <w:t xml:space="preserve"> van Mercedes-Benz in de NAFTA-regio</w:t>
      </w:r>
      <w:r w:rsidR="00B306D4" w:rsidRPr="009C706A">
        <w:rPr>
          <w:rFonts w:cs="Arial"/>
          <w:sz w:val="22"/>
          <w:szCs w:val="22"/>
        </w:rPr>
        <w:t xml:space="preserve"> bleef onveranderd hoog</w:t>
      </w:r>
      <w:r w:rsidRPr="009C706A">
        <w:rPr>
          <w:rFonts w:cs="Arial"/>
          <w:sz w:val="22"/>
          <w:szCs w:val="22"/>
        </w:rPr>
        <w:t xml:space="preserve">. </w:t>
      </w:r>
      <w:r w:rsidR="00875CC9">
        <w:rPr>
          <w:rFonts w:cs="Arial"/>
          <w:sz w:val="22"/>
          <w:szCs w:val="22"/>
        </w:rPr>
        <w:t>I</w:t>
      </w:r>
      <w:r w:rsidR="00875CC9" w:rsidRPr="009C706A">
        <w:rPr>
          <w:rFonts w:cs="Arial"/>
          <w:sz w:val="22"/>
          <w:szCs w:val="22"/>
        </w:rPr>
        <w:t xml:space="preserve">n de eerste helft van het jaar </w:t>
      </w:r>
      <w:r w:rsidR="0004287D">
        <w:rPr>
          <w:rFonts w:cs="Arial"/>
          <w:sz w:val="22"/>
          <w:szCs w:val="22"/>
        </w:rPr>
        <w:t xml:space="preserve">kozen </w:t>
      </w:r>
      <w:r w:rsidRPr="009C706A">
        <w:rPr>
          <w:rFonts w:cs="Arial"/>
          <w:sz w:val="22"/>
          <w:szCs w:val="22"/>
        </w:rPr>
        <w:t xml:space="preserve">189.375 kopers in de VS, Canada en Mexico voor een </w:t>
      </w:r>
      <w:r w:rsidR="00B306D4" w:rsidRPr="009C706A">
        <w:rPr>
          <w:rFonts w:cs="Arial"/>
          <w:sz w:val="22"/>
          <w:szCs w:val="22"/>
        </w:rPr>
        <w:t>auto</w:t>
      </w:r>
      <w:r w:rsidRPr="009C706A">
        <w:rPr>
          <w:rFonts w:cs="Arial"/>
          <w:sz w:val="22"/>
          <w:szCs w:val="22"/>
        </w:rPr>
        <w:t xml:space="preserve"> van Mercedes-Benz (+10,1%). </w:t>
      </w:r>
      <w:r w:rsidR="0004287D">
        <w:rPr>
          <w:rFonts w:cs="Arial"/>
          <w:sz w:val="22"/>
          <w:szCs w:val="22"/>
        </w:rPr>
        <w:t>In a</w:t>
      </w:r>
      <w:r w:rsidR="00B306D4" w:rsidRPr="009C706A">
        <w:rPr>
          <w:rFonts w:cs="Arial"/>
          <w:sz w:val="22"/>
          <w:szCs w:val="22"/>
        </w:rPr>
        <w:t>lle drie</w:t>
      </w:r>
      <w:r w:rsidR="0004287D">
        <w:rPr>
          <w:rFonts w:cs="Arial"/>
          <w:sz w:val="22"/>
          <w:szCs w:val="22"/>
        </w:rPr>
        <w:t xml:space="preserve"> de</w:t>
      </w:r>
      <w:r w:rsidR="00B306D4" w:rsidRPr="009C706A">
        <w:rPr>
          <w:rFonts w:cs="Arial"/>
          <w:sz w:val="22"/>
          <w:szCs w:val="22"/>
        </w:rPr>
        <w:t xml:space="preserve"> landen w</w:t>
      </w:r>
      <w:r w:rsidR="0004287D">
        <w:rPr>
          <w:rFonts w:cs="Arial"/>
          <w:sz w:val="22"/>
          <w:szCs w:val="22"/>
        </w:rPr>
        <w:t>erden nieuwe</w:t>
      </w:r>
      <w:r w:rsidR="00B306D4" w:rsidRPr="009C706A">
        <w:rPr>
          <w:rFonts w:cs="Arial"/>
          <w:sz w:val="22"/>
          <w:szCs w:val="22"/>
        </w:rPr>
        <w:t xml:space="preserve"> verkooprecords</w:t>
      </w:r>
      <w:r w:rsidR="0004287D">
        <w:rPr>
          <w:rFonts w:cs="Arial"/>
          <w:sz w:val="22"/>
          <w:szCs w:val="22"/>
        </w:rPr>
        <w:t xml:space="preserve"> gezet</w:t>
      </w:r>
      <w:r w:rsidRPr="009C706A">
        <w:rPr>
          <w:rFonts w:cs="Arial"/>
          <w:sz w:val="22"/>
          <w:szCs w:val="22"/>
        </w:rPr>
        <w:t xml:space="preserve">. In de VS verkocht Mercedes-Benz 164.970 auto’s in de eerste zes maanden van 2015 (+8,8%). In juni realiseerde het merk </w:t>
      </w:r>
      <w:r w:rsidR="0004287D">
        <w:rPr>
          <w:rFonts w:cs="Arial"/>
          <w:sz w:val="22"/>
          <w:szCs w:val="22"/>
        </w:rPr>
        <w:t>in de VS</w:t>
      </w:r>
      <w:r w:rsidRPr="009C706A">
        <w:rPr>
          <w:rFonts w:cs="Arial"/>
          <w:sz w:val="22"/>
          <w:szCs w:val="22"/>
        </w:rPr>
        <w:t xml:space="preserve"> een verkoopstijging van 5,8% tot 28.044 auto’s.</w:t>
      </w:r>
    </w:p>
    <w:p w:rsidR="00EE4776" w:rsidRPr="009C706A" w:rsidRDefault="00EE4776" w:rsidP="00EE4776">
      <w:pPr>
        <w:pStyle w:val="Default"/>
        <w:spacing w:line="360" w:lineRule="auto"/>
        <w:rPr>
          <w:rFonts w:cs="Arial"/>
          <w:sz w:val="22"/>
          <w:szCs w:val="22"/>
        </w:rPr>
      </w:pPr>
    </w:p>
    <w:p w:rsidR="00686429" w:rsidRPr="009C706A" w:rsidRDefault="00686429" w:rsidP="00EE4776">
      <w:pPr>
        <w:pStyle w:val="Default"/>
        <w:spacing w:line="360" w:lineRule="auto"/>
        <w:rPr>
          <w:rFonts w:cs="Arial"/>
          <w:sz w:val="22"/>
          <w:szCs w:val="22"/>
        </w:rPr>
      </w:pPr>
      <w:r w:rsidRPr="009C706A">
        <w:rPr>
          <w:rFonts w:cs="Arial"/>
          <w:sz w:val="22"/>
          <w:szCs w:val="22"/>
        </w:rPr>
        <w:t>Het gebied rond de Stille Oceaan profiteerde in juni van zeer sterke verkoopprestaties in China, Japan en Zuid-Korea.</w:t>
      </w:r>
      <w:r w:rsidR="001F16DA" w:rsidRPr="009C706A">
        <w:rPr>
          <w:rFonts w:cs="Arial"/>
          <w:sz w:val="22"/>
          <w:szCs w:val="22"/>
        </w:rPr>
        <w:t xml:space="preserve"> In totaal steeg de verkoop daar met 37,3% tot 54.778 auto’s. Met 38,5% was de groei in China nog groter (32.507). In Japan en Zuid-Korea bedroeg de verkooptoename respectievelijk 53,5% en 33,8%. Nieuwe recordverkopen werden gerealiseerd in China, Japan, Zuid-Korea en Australië in zowel de eerste helft van het jaar als in de maand juni. In Japan bleef Mercedes-Benz marktleider onder de geïmporteerde premiummerken. Hetzelfde geldt voor Australië, </w:t>
      </w:r>
      <w:r w:rsidR="00134543">
        <w:rPr>
          <w:rFonts w:cs="Arial"/>
          <w:sz w:val="22"/>
          <w:szCs w:val="22"/>
        </w:rPr>
        <w:t xml:space="preserve">waar </w:t>
      </w:r>
      <w:r w:rsidR="001F16DA" w:rsidRPr="009C706A">
        <w:rPr>
          <w:rFonts w:cs="Arial"/>
          <w:sz w:val="22"/>
          <w:szCs w:val="22"/>
        </w:rPr>
        <w:t xml:space="preserve">in juni de beste verkoopmaand ooit </w:t>
      </w:r>
      <w:r w:rsidR="00134543">
        <w:rPr>
          <w:rFonts w:cs="Arial"/>
          <w:sz w:val="22"/>
          <w:szCs w:val="22"/>
        </w:rPr>
        <w:t>werd gerealiseerd</w:t>
      </w:r>
      <w:r w:rsidR="001F16DA" w:rsidRPr="009C706A">
        <w:rPr>
          <w:rFonts w:cs="Arial"/>
          <w:sz w:val="22"/>
          <w:szCs w:val="22"/>
        </w:rPr>
        <w:t>.</w:t>
      </w:r>
    </w:p>
    <w:p w:rsidR="00EE4776" w:rsidRPr="009C706A" w:rsidRDefault="00EE4776" w:rsidP="00EE4776">
      <w:pPr>
        <w:pStyle w:val="Default"/>
        <w:spacing w:line="360" w:lineRule="auto"/>
        <w:rPr>
          <w:rFonts w:cs="Arial"/>
          <w:sz w:val="22"/>
          <w:szCs w:val="22"/>
        </w:rPr>
      </w:pPr>
    </w:p>
    <w:p w:rsidR="00EE4776" w:rsidRPr="009C706A" w:rsidRDefault="001F16DA" w:rsidP="00EE4776">
      <w:pPr>
        <w:pStyle w:val="Default"/>
        <w:spacing w:line="360" w:lineRule="auto"/>
        <w:rPr>
          <w:rFonts w:cs="Arial"/>
          <w:sz w:val="22"/>
          <w:szCs w:val="22"/>
        </w:rPr>
      </w:pPr>
      <w:r w:rsidRPr="009C706A">
        <w:rPr>
          <w:rFonts w:cs="Arial"/>
          <w:sz w:val="22"/>
          <w:szCs w:val="22"/>
        </w:rPr>
        <w:t xml:space="preserve">In juni kozen in totaal 54.379 klanten voor een compact model in de vorm van een A-Klasse, B-Klasse, CLA, CLA Shooting Brake of GLA (+29,8%). In de eerste helft van 2015 verkocht </w:t>
      </w:r>
      <w:r w:rsidR="00134543">
        <w:rPr>
          <w:rFonts w:cs="Arial"/>
          <w:sz w:val="22"/>
          <w:szCs w:val="22"/>
        </w:rPr>
        <w:t>Mercedes-Benz</w:t>
      </w:r>
      <w:r w:rsidRPr="009C706A">
        <w:rPr>
          <w:rFonts w:cs="Arial"/>
          <w:sz w:val="22"/>
          <w:szCs w:val="22"/>
        </w:rPr>
        <w:t xml:space="preserve"> ongeveer 25% meer compacte modellen </w:t>
      </w:r>
      <w:r w:rsidR="00B306D4" w:rsidRPr="009C706A">
        <w:rPr>
          <w:rFonts w:cs="Arial"/>
          <w:sz w:val="22"/>
          <w:szCs w:val="22"/>
        </w:rPr>
        <w:t>vergeleken met</w:t>
      </w:r>
      <w:r w:rsidRPr="009C706A">
        <w:rPr>
          <w:rFonts w:cs="Arial"/>
          <w:sz w:val="22"/>
          <w:szCs w:val="22"/>
        </w:rPr>
        <w:t xml:space="preserve"> dezelfde periode een jaar eerder (269.527 eenheden). Een vergelijkbare verkooptoename (+25,5%)</w:t>
      </w:r>
      <w:r w:rsidR="001D3407" w:rsidRPr="009C706A">
        <w:rPr>
          <w:rFonts w:cs="Arial"/>
          <w:sz w:val="22"/>
          <w:szCs w:val="22"/>
        </w:rPr>
        <w:t xml:space="preserve"> en een nieuw verkooprecord werden bewerkstelligd door de CLA. De CLA Shooting Brake mocht zich in de eerste maanden na zijn introductie eveneens in een grote populariteit verheugen.</w:t>
      </w:r>
    </w:p>
    <w:p w:rsidR="00EE4776" w:rsidRPr="009C706A" w:rsidRDefault="00EE4776" w:rsidP="00EE4776">
      <w:pPr>
        <w:pStyle w:val="Default"/>
        <w:spacing w:line="360" w:lineRule="auto"/>
        <w:rPr>
          <w:rFonts w:cs="Arial"/>
          <w:sz w:val="22"/>
          <w:szCs w:val="22"/>
        </w:rPr>
      </w:pPr>
    </w:p>
    <w:p w:rsidR="001D3407" w:rsidRPr="009C706A" w:rsidRDefault="001D3407" w:rsidP="00EE4776">
      <w:pPr>
        <w:pStyle w:val="Default"/>
        <w:spacing w:line="360" w:lineRule="auto"/>
        <w:rPr>
          <w:rFonts w:cs="Arial"/>
          <w:sz w:val="22"/>
          <w:szCs w:val="22"/>
        </w:rPr>
      </w:pPr>
      <w:r w:rsidRPr="009C706A">
        <w:rPr>
          <w:rFonts w:cs="Arial"/>
          <w:sz w:val="22"/>
          <w:szCs w:val="22"/>
        </w:rPr>
        <w:t xml:space="preserve">De C-Klasse Limousine en </w:t>
      </w:r>
      <w:proofErr w:type="spellStart"/>
      <w:r w:rsidRPr="009C706A">
        <w:rPr>
          <w:rFonts w:cs="Arial"/>
          <w:sz w:val="22"/>
          <w:szCs w:val="22"/>
        </w:rPr>
        <w:t>Estate</w:t>
      </w:r>
      <w:proofErr w:type="spellEnd"/>
      <w:r w:rsidRPr="009C706A">
        <w:rPr>
          <w:rFonts w:cs="Arial"/>
          <w:sz w:val="22"/>
          <w:szCs w:val="22"/>
        </w:rPr>
        <w:t xml:space="preserve"> blijven dit jaar het ene record na het andere </w:t>
      </w:r>
      <w:r w:rsidR="00266D7A" w:rsidRPr="009C706A">
        <w:rPr>
          <w:rFonts w:cs="Arial"/>
          <w:sz w:val="22"/>
          <w:szCs w:val="22"/>
        </w:rPr>
        <w:t>vestigen</w:t>
      </w:r>
      <w:r w:rsidR="00134543">
        <w:rPr>
          <w:rFonts w:cs="Arial"/>
          <w:sz w:val="22"/>
          <w:szCs w:val="22"/>
        </w:rPr>
        <w:t xml:space="preserve">. Sinds de start van 2015 </w:t>
      </w:r>
      <w:r w:rsidRPr="009C706A">
        <w:rPr>
          <w:rFonts w:cs="Arial"/>
          <w:sz w:val="22"/>
          <w:szCs w:val="22"/>
        </w:rPr>
        <w:t xml:space="preserve">steeg </w:t>
      </w:r>
      <w:r w:rsidR="00134543">
        <w:rPr>
          <w:rFonts w:cs="Arial"/>
          <w:sz w:val="22"/>
          <w:szCs w:val="22"/>
        </w:rPr>
        <w:t xml:space="preserve">de verkoop </w:t>
      </w:r>
      <w:r w:rsidRPr="009C706A">
        <w:rPr>
          <w:rFonts w:cs="Arial"/>
          <w:sz w:val="22"/>
          <w:szCs w:val="22"/>
        </w:rPr>
        <w:t>met 58,7% tot 214.222 aut</w:t>
      </w:r>
      <w:r w:rsidR="00134543">
        <w:rPr>
          <w:rFonts w:cs="Arial"/>
          <w:sz w:val="22"/>
          <w:szCs w:val="22"/>
        </w:rPr>
        <w:t>o’s</w:t>
      </w:r>
      <w:r w:rsidRPr="009C706A">
        <w:rPr>
          <w:rFonts w:cs="Arial"/>
          <w:sz w:val="22"/>
          <w:szCs w:val="22"/>
        </w:rPr>
        <w:t xml:space="preserve">. In China verdubbelden de verkopen van de C-Klasse Limousine </w:t>
      </w:r>
      <w:r w:rsidR="00134543">
        <w:rPr>
          <w:rFonts w:cs="Arial"/>
          <w:sz w:val="22"/>
          <w:szCs w:val="22"/>
        </w:rPr>
        <w:t xml:space="preserve">in </w:t>
      </w:r>
      <w:r w:rsidRPr="009C706A">
        <w:rPr>
          <w:rFonts w:cs="Arial"/>
          <w:sz w:val="22"/>
          <w:szCs w:val="22"/>
        </w:rPr>
        <w:t xml:space="preserve"> </w:t>
      </w:r>
      <w:r w:rsidRPr="009C706A">
        <w:rPr>
          <w:rFonts w:cs="Arial"/>
          <w:sz w:val="22"/>
          <w:szCs w:val="22"/>
        </w:rPr>
        <w:lastRenderedPageBreak/>
        <w:t xml:space="preserve">dezelfde periode. Enkele maanden geleden is Mercedes-Benz </w:t>
      </w:r>
      <w:r w:rsidR="00134543" w:rsidRPr="009C706A">
        <w:rPr>
          <w:rFonts w:cs="Arial"/>
          <w:sz w:val="22"/>
          <w:szCs w:val="22"/>
        </w:rPr>
        <w:t>in aanvulling op de productie van de versie met lange wielbasis</w:t>
      </w:r>
      <w:r w:rsidR="00134543" w:rsidRPr="009C706A">
        <w:rPr>
          <w:rFonts w:cs="Arial"/>
          <w:sz w:val="22"/>
          <w:szCs w:val="22"/>
        </w:rPr>
        <w:t xml:space="preserve"> </w:t>
      </w:r>
      <w:r w:rsidRPr="009C706A">
        <w:rPr>
          <w:rFonts w:cs="Arial"/>
          <w:sz w:val="22"/>
          <w:szCs w:val="22"/>
        </w:rPr>
        <w:t xml:space="preserve">begonnen met de </w:t>
      </w:r>
      <w:r w:rsidR="00266D7A" w:rsidRPr="009C706A">
        <w:rPr>
          <w:rFonts w:cs="Arial"/>
          <w:sz w:val="22"/>
          <w:szCs w:val="22"/>
        </w:rPr>
        <w:t>lokale</w:t>
      </w:r>
      <w:r w:rsidRPr="009C706A">
        <w:rPr>
          <w:rFonts w:cs="Arial"/>
          <w:sz w:val="22"/>
          <w:szCs w:val="22"/>
        </w:rPr>
        <w:t xml:space="preserve"> productie van de C-Klasse Limousine met normale wielbasis in China,. In de VS noteerde de C-Klasse Limousine eveneens een nieuw verkooprecord in de eerste helft van het jaar.</w:t>
      </w:r>
    </w:p>
    <w:p w:rsidR="00EE4776" w:rsidRPr="009C706A" w:rsidRDefault="00EE4776" w:rsidP="00EE4776">
      <w:pPr>
        <w:pStyle w:val="Default"/>
        <w:spacing w:line="360" w:lineRule="auto"/>
        <w:rPr>
          <w:rFonts w:cs="Arial"/>
          <w:sz w:val="22"/>
          <w:szCs w:val="22"/>
        </w:rPr>
      </w:pPr>
    </w:p>
    <w:p w:rsidR="001D3407" w:rsidRPr="009C706A" w:rsidRDefault="001D3407" w:rsidP="00EE4776">
      <w:pPr>
        <w:pStyle w:val="Default"/>
        <w:spacing w:line="360" w:lineRule="auto"/>
        <w:rPr>
          <w:rFonts w:cs="Arial"/>
          <w:sz w:val="22"/>
          <w:szCs w:val="22"/>
        </w:rPr>
      </w:pPr>
      <w:r w:rsidRPr="009C706A">
        <w:rPr>
          <w:rFonts w:cs="Arial"/>
          <w:sz w:val="22"/>
          <w:szCs w:val="22"/>
        </w:rPr>
        <w:t>Met meer dan 13 miljoen E-Klasses Limousine en Estate die tot dusver aan klanten werden afgeleverd, is de E-Klasse het bestverkochte model in de historie van Mercedes-Benz. De E-Klasse Limousine vestigde in China – de grootste verkoopmarkt voor het model – een nieuw verkooprecord in de eerste helft van het jaar.</w:t>
      </w:r>
    </w:p>
    <w:p w:rsidR="00EE4776" w:rsidRPr="009C706A" w:rsidRDefault="00EE4776" w:rsidP="00EE4776">
      <w:pPr>
        <w:pStyle w:val="Default"/>
        <w:spacing w:line="360" w:lineRule="auto"/>
        <w:rPr>
          <w:rFonts w:cs="Arial"/>
          <w:sz w:val="22"/>
          <w:szCs w:val="22"/>
        </w:rPr>
      </w:pPr>
    </w:p>
    <w:p w:rsidR="001D3407" w:rsidRPr="009C706A" w:rsidRDefault="001D3407" w:rsidP="00EE4776">
      <w:pPr>
        <w:pStyle w:val="Default"/>
        <w:spacing w:line="360" w:lineRule="auto"/>
        <w:rPr>
          <w:rFonts w:cs="Arial"/>
          <w:sz w:val="22"/>
          <w:szCs w:val="22"/>
        </w:rPr>
      </w:pPr>
      <w:r w:rsidRPr="009C706A">
        <w:rPr>
          <w:rFonts w:cs="Arial"/>
          <w:sz w:val="22"/>
          <w:szCs w:val="22"/>
        </w:rPr>
        <w:t xml:space="preserve">Ook voor de S-Klasse Limousine was er in juni een nieuw </w:t>
      </w:r>
      <w:r w:rsidR="00B306D4" w:rsidRPr="009C706A">
        <w:rPr>
          <w:rFonts w:cs="Arial"/>
          <w:sz w:val="22"/>
          <w:szCs w:val="22"/>
        </w:rPr>
        <w:t>hoogtepunt</w:t>
      </w:r>
      <w:r w:rsidRPr="009C706A">
        <w:rPr>
          <w:rFonts w:cs="Arial"/>
          <w:sz w:val="22"/>
          <w:szCs w:val="22"/>
        </w:rPr>
        <w:t xml:space="preserve">. Met 51.560 </w:t>
      </w:r>
      <w:r w:rsidR="00AD1CC1" w:rsidRPr="009C706A">
        <w:rPr>
          <w:rFonts w:cs="Arial"/>
          <w:sz w:val="22"/>
          <w:szCs w:val="22"/>
        </w:rPr>
        <w:t xml:space="preserve">verkochte exemplaren blijft de S-Klasse ’s </w:t>
      </w:r>
      <w:r w:rsidR="00134543">
        <w:rPr>
          <w:rFonts w:cs="Arial"/>
          <w:sz w:val="22"/>
          <w:szCs w:val="22"/>
        </w:rPr>
        <w:t>werelds bestverkochte luxe limousine</w:t>
      </w:r>
      <w:r w:rsidR="00AD1CC1" w:rsidRPr="009C706A">
        <w:rPr>
          <w:rFonts w:cs="Arial"/>
          <w:sz w:val="22"/>
          <w:szCs w:val="22"/>
        </w:rPr>
        <w:t>.</w:t>
      </w:r>
    </w:p>
    <w:p w:rsidR="00EE4776" w:rsidRPr="009C706A" w:rsidRDefault="00EE4776" w:rsidP="00EE4776">
      <w:pPr>
        <w:spacing w:after="0" w:line="360" w:lineRule="auto"/>
        <w:rPr>
          <w:rFonts w:cs="Arial"/>
          <w:sz w:val="22"/>
          <w:szCs w:val="22"/>
        </w:rPr>
      </w:pPr>
    </w:p>
    <w:p w:rsidR="00EE4776" w:rsidRPr="009C706A" w:rsidRDefault="00AD1CC1" w:rsidP="00AD1CC1">
      <w:pPr>
        <w:spacing w:after="0" w:line="360" w:lineRule="auto"/>
        <w:rPr>
          <w:rFonts w:cs="Arial"/>
          <w:sz w:val="22"/>
          <w:szCs w:val="22"/>
        </w:rPr>
      </w:pPr>
      <w:r w:rsidRPr="009C706A">
        <w:rPr>
          <w:rFonts w:cs="Arial"/>
          <w:sz w:val="22"/>
          <w:szCs w:val="22"/>
        </w:rPr>
        <w:t xml:space="preserve">In het SUV-segment zorgde Mercedes-Benz </w:t>
      </w:r>
      <w:r w:rsidR="00F22721">
        <w:rPr>
          <w:rFonts w:cs="Arial"/>
          <w:sz w:val="22"/>
          <w:szCs w:val="22"/>
        </w:rPr>
        <w:t xml:space="preserve">in de </w:t>
      </w:r>
      <w:r w:rsidRPr="009C706A">
        <w:rPr>
          <w:rFonts w:cs="Arial"/>
          <w:sz w:val="22"/>
          <w:szCs w:val="22"/>
        </w:rPr>
        <w:t xml:space="preserve">afgelopen maand niet alleen voor een wereldprimeur met de nieuwe GLC, maar </w:t>
      </w:r>
      <w:r w:rsidR="00B306D4" w:rsidRPr="009C706A">
        <w:rPr>
          <w:rFonts w:cs="Arial"/>
          <w:sz w:val="22"/>
          <w:szCs w:val="22"/>
        </w:rPr>
        <w:t>tekende</w:t>
      </w:r>
      <w:r w:rsidRPr="009C706A">
        <w:rPr>
          <w:rFonts w:cs="Arial"/>
          <w:sz w:val="22"/>
          <w:szCs w:val="22"/>
        </w:rPr>
        <w:t xml:space="preserve"> het merk ook een nieuw verkooprecord</w:t>
      </w:r>
      <w:r w:rsidR="00B306D4" w:rsidRPr="009C706A">
        <w:rPr>
          <w:rFonts w:cs="Arial"/>
          <w:sz w:val="22"/>
          <w:szCs w:val="22"/>
        </w:rPr>
        <w:t xml:space="preserve"> bij</w:t>
      </w:r>
      <w:r w:rsidRPr="009C706A">
        <w:rPr>
          <w:rFonts w:cs="Arial"/>
          <w:sz w:val="22"/>
          <w:szCs w:val="22"/>
        </w:rPr>
        <w:t xml:space="preserve"> (+17,3%). Tijdens de eerste zes maanden van het jaar steeg de verkoop van de GLA, GLK, M-Klasse, GL en G-Klasse met 25% tot 232.406 auto’s. De G-Klasse – de </w:t>
      </w:r>
      <w:r w:rsidR="00F22721">
        <w:rPr>
          <w:rFonts w:cs="Arial"/>
          <w:sz w:val="22"/>
          <w:szCs w:val="22"/>
        </w:rPr>
        <w:t>oervader</w:t>
      </w:r>
      <w:r w:rsidRPr="009C706A">
        <w:rPr>
          <w:rFonts w:cs="Arial"/>
          <w:sz w:val="22"/>
          <w:szCs w:val="22"/>
        </w:rPr>
        <w:t xml:space="preserve"> van alle </w:t>
      </w:r>
      <w:proofErr w:type="spellStart"/>
      <w:r w:rsidRPr="009C706A">
        <w:rPr>
          <w:rFonts w:cs="Arial"/>
          <w:sz w:val="22"/>
          <w:szCs w:val="22"/>
        </w:rPr>
        <w:t>SUV’s</w:t>
      </w:r>
      <w:proofErr w:type="spellEnd"/>
      <w:r w:rsidRPr="009C706A">
        <w:rPr>
          <w:rFonts w:cs="Arial"/>
          <w:sz w:val="22"/>
          <w:szCs w:val="22"/>
        </w:rPr>
        <w:t xml:space="preserve"> van Mercedes-Benz – noteerde een nieuw verkooprecord in de eerste helft van het jaar</w:t>
      </w:r>
      <w:r w:rsidR="00EE4776" w:rsidRPr="009C706A">
        <w:rPr>
          <w:rFonts w:cs="Arial"/>
          <w:sz w:val="22"/>
          <w:szCs w:val="22"/>
        </w:rPr>
        <w:t xml:space="preserve"> (+27</w:t>
      </w:r>
      <w:r w:rsidRPr="009C706A">
        <w:rPr>
          <w:rFonts w:cs="Arial"/>
          <w:sz w:val="22"/>
          <w:szCs w:val="22"/>
        </w:rPr>
        <w:t>,</w:t>
      </w:r>
      <w:r w:rsidR="00EE4776" w:rsidRPr="009C706A">
        <w:rPr>
          <w:rFonts w:cs="Arial"/>
          <w:sz w:val="22"/>
          <w:szCs w:val="22"/>
        </w:rPr>
        <w:t xml:space="preserve">6%). </w:t>
      </w:r>
    </w:p>
    <w:p w:rsidR="00EE4776" w:rsidRPr="009C706A" w:rsidRDefault="00EE4776" w:rsidP="00EE4776">
      <w:pPr>
        <w:pStyle w:val="Default"/>
        <w:spacing w:line="360" w:lineRule="auto"/>
        <w:rPr>
          <w:rFonts w:cs="Arial"/>
          <w:sz w:val="22"/>
          <w:szCs w:val="22"/>
        </w:rPr>
      </w:pPr>
    </w:p>
    <w:p w:rsidR="00AD1CC1" w:rsidRPr="009C706A" w:rsidRDefault="00AD1CC1" w:rsidP="00EE4776">
      <w:pPr>
        <w:pStyle w:val="Default"/>
        <w:spacing w:line="360" w:lineRule="auto"/>
        <w:rPr>
          <w:rFonts w:cs="Arial"/>
          <w:sz w:val="22"/>
          <w:szCs w:val="22"/>
        </w:rPr>
      </w:pPr>
      <w:r w:rsidRPr="009C706A">
        <w:rPr>
          <w:rFonts w:cs="Arial"/>
          <w:sz w:val="22"/>
          <w:szCs w:val="22"/>
        </w:rPr>
        <w:t xml:space="preserve">Het succesverhaal van de smart fortwo en smart forfour bleef in juni aanhouden. In totaal vielen 11.329 klanten wereldwijd afgelopen maand voor de charmes van de </w:t>
      </w:r>
      <w:r w:rsidR="00B306D4" w:rsidRPr="009C706A">
        <w:rPr>
          <w:rFonts w:cs="Arial"/>
          <w:sz w:val="22"/>
          <w:szCs w:val="22"/>
        </w:rPr>
        <w:t xml:space="preserve">kleine </w:t>
      </w:r>
      <w:r w:rsidRPr="009C706A">
        <w:rPr>
          <w:rFonts w:cs="Arial"/>
          <w:sz w:val="22"/>
          <w:szCs w:val="22"/>
        </w:rPr>
        <w:t xml:space="preserve">stadsauto, wat </w:t>
      </w:r>
      <w:r w:rsidR="00B306D4" w:rsidRPr="009C706A">
        <w:rPr>
          <w:rFonts w:cs="Arial"/>
          <w:sz w:val="22"/>
          <w:szCs w:val="22"/>
        </w:rPr>
        <w:t xml:space="preserve">overeenkomt met </w:t>
      </w:r>
      <w:r w:rsidRPr="009C706A">
        <w:rPr>
          <w:rFonts w:cs="Arial"/>
          <w:sz w:val="22"/>
          <w:szCs w:val="22"/>
        </w:rPr>
        <w:t>een verkoopstijging van 54,5%. In Duitsland eindigden de smart-verkopen in juni bijna twee keer zo hoog als in dezelfde maand in juni 2014.</w:t>
      </w:r>
    </w:p>
    <w:p w:rsidR="00F22721" w:rsidRDefault="00F22721">
      <w:pPr>
        <w:spacing w:after="0" w:line="240" w:lineRule="auto"/>
        <w:rPr>
          <w:rFonts w:eastAsiaTheme="minorHAnsi" w:cs="Arial"/>
          <w:color w:val="000000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br w:type="page"/>
      </w:r>
    </w:p>
    <w:p w:rsidR="00EE4776" w:rsidRPr="009C706A" w:rsidRDefault="00EE4776" w:rsidP="00EE4776">
      <w:pPr>
        <w:pStyle w:val="Default"/>
        <w:spacing w:line="360" w:lineRule="auto"/>
        <w:rPr>
          <w:rFonts w:cs="Arial"/>
          <w:sz w:val="22"/>
          <w:szCs w:val="22"/>
        </w:rPr>
      </w:pPr>
    </w:p>
    <w:p w:rsidR="00EE4776" w:rsidRPr="009C706A" w:rsidRDefault="00AD1CC1" w:rsidP="00EE4776">
      <w:pPr>
        <w:spacing w:after="0" w:line="360" w:lineRule="auto"/>
        <w:rPr>
          <w:rFonts w:cs="Arial"/>
          <w:sz w:val="22"/>
          <w:szCs w:val="22"/>
          <w:lang w:val="en-US"/>
        </w:rPr>
      </w:pPr>
      <w:r w:rsidRPr="009C706A">
        <w:rPr>
          <w:rFonts w:cs="Arial"/>
          <w:b/>
          <w:bCs/>
          <w:sz w:val="22"/>
          <w:szCs w:val="22"/>
          <w:lang w:val="en-US"/>
        </w:rPr>
        <w:t>Overzicht verkopen</w:t>
      </w:r>
      <w:r w:rsidR="00EE4776" w:rsidRPr="009C706A">
        <w:rPr>
          <w:rFonts w:cs="Arial"/>
          <w:b/>
          <w:bCs/>
          <w:sz w:val="22"/>
          <w:szCs w:val="22"/>
          <w:lang w:val="en-US"/>
        </w:rPr>
        <w:t xml:space="preserve"> Mercedes-Benz </w:t>
      </w:r>
      <w:r w:rsidRPr="009C706A">
        <w:rPr>
          <w:rFonts w:cs="Arial"/>
          <w:b/>
          <w:bCs/>
          <w:sz w:val="22"/>
          <w:szCs w:val="22"/>
          <w:lang w:val="en-US"/>
        </w:rPr>
        <w:t>Personenauto’s</w:t>
      </w:r>
    </w:p>
    <w:p w:rsidR="00E2073C" w:rsidRPr="009C706A" w:rsidRDefault="00E2073C" w:rsidP="002F7B0B">
      <w:pPr>
        <w:pStyle w:val="40Continoustext11pt"/>
        <w:spacing w:after="0" w:line="240" w:lineRule="auto"/>
        <w:rPr>
          <w:rFonts w:cs="Arial"/>
          <w:szCs w:val="22"/>
          <w:lang w:val="en-US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1951"/>
        <w:gridCol w:w="992"/>
        <w:gridCol w:w="1560"/>
        <w:gridCol w:w="1275"/>
        <w:gridCol w:w="1560"/>
      </w:tblGrid>
      <w:tr w:rsidR="002F7B0B" w:rsidRPr="009C706A" w:rsidTr="00F22721">
        <w:tc>
          <w:tcPr>
            <w:tcW w:w="1951" w:type="dxa"/>
          </w:tcPr>
          <w:p w:rsidR="002F7B0B" w:rsidRPr="009C706A" w:rsidRDefault="002F7B0B" w:rsidP="002F7B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F7B0B" w:rsidRPr="009C706A" w:rsidRDefault="002F7B0B" w:rsidP="002F7B0B">
            <w:pPr>
              <w:pStyle w:val="Default"/>
              <w:spacing w:after="0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Juni 2015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>Verandering in %</w:t>
            </w:r>
          </w:p>
        </w:tc>
        <w:tc>
          <w:tcPr>
            <w:tcW w:w="1275" w:type="dxa"/>
          </w:tcPr>
          <w:p w:rsidR="002F7B0B" w:rsidRPr="009C706A" w:rsidRDefault="002F7B0B" w:rsidP="002F7B0B">
            <w:pPr>
              <w:pStyle w:val="Default"/>
              <w:spacing w:after="0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Tot juni 2015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Verandering in % </w:t>
            </w:r>
          </w:p>
        </w:tc>
      </w:tr>
      <w:tr w:rsidR="002F7B0B" w:rsidRPr="009C706A" w:rsidTr="00F22721">
        <w:tc>
          <w:tcPr>
            <w:tcW w:w="1951" w:type="dxa"/>
          </w:tcPr>
          <w:p w:rsidR="002F7B0B" w:rsidRPr="009C706A" w:rsidRDefault="002F7B0B" w:rsidP="002F7B0B">
            <w:pPr>
              <w:pStyle w:val="Default"/>
              <w:spacing w:after="0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b/>
                <w:bCs/>
                <w:sz w:val="18"/>
                <w:szCs w:val="18"/>
              </w:rPr>
              <w:t xml:space="preserve">Mercedes-Benz </w:t>
            </w:r>
          </w:p>
        </w:tc>
        <w:tc>
          <w:tcPr>
            <w:tcW w:w="992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b/>
                <w:bCs/>
                <w:sz w:val="18"/>
                <w:szCs w:val="18"/>
              </w:rPr>
              <w:t xml:space="preserve">169.616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b/>
                <w:bCs/>
                <w:sz w:val="18"/>
                <w:szCs w:val="18"/>
              </w:rPr>
              <w:t xml:space="preserve">+19,3 </w:t>
            </w:r>
          </w:p>
        </w:tc>
        <w:tc>
          <w:tcPr>
            <w:tcW w:w="1275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b/>
                <w:bCs/>
                <w:sz w:val="18"/>
                <w:szCs w:val="18"/>
              </w:rPr>
              <w:t xml:space="preserve">898.425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b/>
                <w:bCs/>
                <w:sz w:val="18"/>
                <w:szCs w:val="18"/>
              </w:rPr>
              <w:t xml:space="preserve">+14,7 </w:t>
            </w:r>
          </w:p>
        </w:tc>
      </w:tr>
      <w:tr w:rsidR="002F7B0B" w:rsidRPr="009C706A" w:rsidTr="00F22721">
        <w:tc>
          <w:tcPr>
            <w:tcW w:w="1951" w:type="dxa"/>
          </w:tcPr>
          <w:p w:rsidR="002F7B0B" w:rsidRPr="009C706A" w:rsidRDefault="002F7B0B" w:rsidP="002F7B0B">
            <w:pPr>
              <w:pStyle w:val="Default"/>
              <w:spacing w:after="0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b/>
                <w:bCs/>
                <w:sz w:val="18"/>
                <w:szCs w:val="18"/>
              </w:rPr>
              <w:t xml:space="preserve">smart </w:t>
            </w:r>
          </w:p>
        </w:tc>
        <w:tc>
          <w:tcPr>
            <w:tcW w:w="992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b/>
                <w:bCs/>
                <w:sz w:val="18"/>
                <w:szCs w:val="18"/>
              </w:rPr>
              <w:t xml:space="preserve">11.329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b/>
                <w:bCs/>
                <w:sz w:val="18"/>
                <w:szCs w:val="18"/>
              </w:rPr>
              <w:t xml:space="preserve">+54,5 </w:t>
            </w:r>
          </w:p>
        </w:tc>
        <w:tc>
          <w:tcPr>
            <w:tcW w:w="1275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b/>
                <w:bCs/>
                <w:sz w:val="18"/>
                <w:szCs w:val="18"/>
              </w:rPr>
              <w:t xml:space="preserve">62.164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b/>
                <w:bCs/>
                <w:sz w:val="18"/>
                <w:szCs w:val="18"/>
              </w:rPr>
              <w:t xml:space="preserve">+32,8 </w:t>
            </w:r>
          </w:p>
        </w:tc>
      </w:tr>
      <w:tr w:rsidR="002F7B0B" w:rsidRPr="009C706A" w:rsidTr="00F22721">
        <w:tc>
          <w:tcPr>
            <w:tcW w:w="1951" w:type="dxa"/>
          </w:tcPr>
          <w:p w:rsidR="002F7B0B" w:rsidRPr="009C706A" w:rsidRDefault="002F7B0B" w:rsidP="002F7B0B">
            <w:pPr>
              <w:pStyle w:val="Default"/>
              <w:spacing w:after="0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b/>
                <w:bCs/>
                <w:sz w:val="18"/>
                <w:szCs w:val="18"/>
              </w:rPr>
              <w:t xml:space="preserve">Mercedes-Benz Personenauto’s </w:t>
            </w:r>
          </w:p>
        </w:tc>
        <w:tc>
          <w:tcPr>
            <w:tcW w:w="992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b/>
                <w:bCs/>
                <w:sz w:val="18"/>
                <w:szCs w:val="18"/>
              </w:rPr>
              <w:t xml:space="preserve">180.945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b/>
                <w:bCs/>
                <w:sz w:val="18"/>
                <w:szCs w:val="18"/>
              </w:rPr>
              <w:t xml:space="preserve">+21,1 </w:t>
            </w:r>
          </w:p>
        </w:tc>
        <w:tc>
          <w:tcPr>
            <w:tcW w:w="1275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b/>
                <w:bCs/>
                <w:sz w:val="18"/>
                <w:szCs w:val="18"/>
              </w:rPr>
              <w:t xml:space="preserve">960.589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b/>
                <w:bCs/>
                <w:sz w:val="18"/>
                <w:szCs w:val="18"/>
              </w:rPr>
              <w:t xml:space="preserve">+15,7 </w:t>
            </w:r>
          </w:p>
        </w:tc>
      </w:tr>
      <w:tr w:rsidR="002F7B0B" w:rsidRPr="009C706A" w:rsidTr="00F22721">
        <w:tc>
          <w:tcPr>
            <w:tcW w:w="1951" w:type="dxa"/>
          </w:tcPr>
          <w:p w:rsidR="002F7B0B" w:rsidRPr="009C706A" w:rsidRDefault="002F7B0B" w:rsidP="002F7B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F7B0B" w:rsidRPr="009C706A" w:rsidRDefault="002F7B0B" w:rsidP="002F7B0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7B0B" w:rsidRPr="009C706A" w:rsidRDefault="002F7B0B" w:rsidP="002F7B0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F7B0B" w:rsidRPr="009C706A" w:rsidRDefault="002F7B0B" w:rsidP="002F7B0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7B0B" w:rsidRPr="009C706A" w:rsidRDefault="002F7B0B" w:rsidP="002F7B0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2F7B0B" w:rsidRPr="009C706A" w:rsidTr="00F22721">
        <w:tc>
          <w:tcPr>
            <w:tcW w:w="1951" w:type="dxa"/>
          </w:tcPr>
          <w:p w:rsidR="002F7B0B" w:rsidRPr="009C706A" w:rsidRDefault="002F7B0B" w:rsidP="002F7B0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b/>
                <w:bCs/>
                <w:sz w:val="18"/>
                <w:szCs w:val="18"/>
              </w:rPr>
              <w:t>Verkopen Mercedes-Benz per markt</w:t>
            </w:r>
          </w:p>
        </w:tc>
        <w:tc>
          <w:tcPr>
            <w:tcW w:w="992" w:type="dxa"/>
          </w:tcPr>
          <w:p w:rsidR="002F7B0B" w:rsidRPr="009C706A" w:rsidRDefault="002F7B0B" w:rsidP="002F7B0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7B0B" w:rsidRPr="009C706A" w:rsidRDefault="002F7B0B" w:rsidP="002F7B0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F7B0B" w:rsidRPr="009C706A" w:rsidRDefault="002F7B0B" w:rsidP="002F7B0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7B0B" w:rsidRPr="009C706A" w:rsidRDefault="002F7B0B" w:rsidP="002F7B0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2F7B0B" w:rsidRPr="009C706A" w:rsidTr="00F22721">
        <w:tc>
          <w:tcPr>
            <w:tcW w:w="1951" w:type="dxa"/>
          </w:tcPr>
          <w:p w:rsidR="002F7B0B" w:rsidRPr="009C706A" w:rsidRDefault="002F7B0B" w:rsidP="002F7B0B">
            <w:pPr>
              <w:pStyle w:val="Default"/>
              <w:spacing w:after="0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>Europa</w:t>
            </w:r>
          </w:p>
        </w:tc>
        <w:tc>
          <w:tcPr>
            <w:tcW w:w="992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76.204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+14,0 </w:t>
            </w:r>
          </w:p>
        </w:tc>
        <w:tc>
          <w:tcPr>
            <w:tcW w:w="1275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392.528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+11,2 </w:t>
            </w:r>
          </w:p>
        </w:tc>
      </w:tr>
      <w:tr w:rsidR="002F7B0B" w:rsidRPr="009C706A" w:rsidTr="00F22721">
        <w:tc>
          <w:tcPr>
            <w:tcW w:w="1951" w:type="dxa"/>
          </w:tcPr>
          <w:p w:rsidR="002F7B0B" w:rsidRPr="009C706A" w:rsidRDefault="002F7B0B" w:rsidP="002F7B0B">
            <w:pPr>
              <w:pStyle w:val="Default"/>
              <w:spacing w:after="0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- waarvan Duitsland </w:t>
            </w:r>
          </w:p>
        </w:tc>
        <w:tc>
          <w:tcPr>
            <w:tcW w:w="992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26.800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+16,5 </w:t>
            </w:r>
          </w:p>
        </w:tc>
        <w:tc>
          <w:tcPr>
            <w:tcW w:w="1275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132.391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+5,7 </w:t>
            </w:r>
          </w:p>
        </w:tc>
      </w:tr>
      <w:tr w:rsidR="002F7B0B" w:rsidRPr="009C706A" w:rsidTr="00F22721">
        <w:tc>
          <w:tcPr>
            <w:tcW w:w="1951" w:type="dxa"/>
          </w:tcPr>
          <w:p w:rsidR="002F7B0B" w:rsidRPr="009C706A" w:rsidRDefault="002F7B0B" w:rsidP="002F7B0B">
            <w:pPr>
              <w:pStyle w:val="Default"/>
              <w:spacing w:after="0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NAFTA </w:t>
            </w:r>
          </w:p>
        </w:tc>
        <w:tc>
          <w:tcPr>
            <w:tcW w:w="992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32.481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+6,7 </w:t>
            </w:r>
          </w:p>
        </w:tc>
        <w:tc>
          <w:tcPr>
            <w:tcW w:w="1275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189.375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+10,1 </w:t>
            </w:r>
          </w:p>
        </w:tc>
      </w:tr>
      <w:tr w:rsidR="002F7B0B" w:rsidRPr="009C706A" w:rsidTr="00F22721">
        <w:tc>
          <w:tcPr>
            <w:tcW w:w="1951" w:type="dxa"/>
          </w:tcPr>
          <w:p w:rsidR="002F7B0B" w:rsidRPr="009C706A" w:rsidRDefault="002F7B0B" w:rsidP="002F7B0B">
            <w:pPr>
              <w:pStyle w:val="Default"/>
              <w:spacing w:after="0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- waarvan VS </w:t>
            </w:r>
          </w:p>
        </w:tc>
        <w:tc>
          <w:tcPr>
            <w:tcW w:w="992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28.044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+5,8 </w:t>
            </w:r>
          </w:p>
        </w:tc>
        <w:tc>
          <w:tcPr>
            <w:tcW w:w="1275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164.970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+8,8 </w:t>
            </w:r>
          </w:p>
        </w:tc>
      </w:tr>
      <w:tr w:rsidR="002F7B0B" w:rsidRPr="009C706A" w:rsidTr="00F22721">
        <w:tc>
          <w:tcPr>
            <w:tcW w:w="1951" w:type="dxa"/>
          </w:tcPr>
          <w:p w:rsidR="002F7B0B" w:rsidRPr="009C706A" w:rsidRDefault="002F7B0B" w:rsidP="002F7B0B">
            <w:pPr>
              <w:pStyle w:val="Default"/>
              <w:spacing w:after="0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Asia-Pacific </w:t>
            </w:r>
          </w:p>
        </w:tc>
        <w:tc>
          <w:tcPr>
            <w:tcW w:w="992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54.778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+37,3 </w:t>
            </w:r>
          </w:p>
        </w:tc>
        <w:tc>
          <w:tcPr>
            <w:tcW w:w="1275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284.539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+22,4 </w:t>
            </w:r>
          </w:p>
        </w:tc>
      </w:tr>
      <w:tr w:rsidR="002F7B0B" w:rsidRPr="009C706A" w:rsidTr="00F22721">
        <w:tc>
          <w:tcPr>
            <w:tcW w:w="1951" w:type="dxa"/>
          </w:tcPr>
          <w:p w:rsidR="002F7B0B" w:rsidRPr="009C706A" w:rsidRDefault="002F7B0B" w:rsidP="002F7B0B">
            <w:pPr>
              <w:pStyle w:val="Default"/>
              <w:spacing w:after="0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- waarvan Japan </w:t>
            </w:r>
          </w:p>
        </w:tc>
        <w:tc>
          <w:tcPr>
            <w:tcW w:w="992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6.333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+53,5 </w:t>
            </w:r>
          </w:p>
        </w:tc>
        <w:tc>
          <w:tcPr>
            <w:tcW w:w="1275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32.589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+19,3 </w:t>
            </w:r>
          </w:p>
        </w:tc>
      </w:tr>
      <w:tr w:rsidR="002F7B0B" w:rsidRPr="009C706A" w:rsidTr="00F22721">
        <w:tc>
          <w:tcPr>
            <w:tcW w:w="1951" w:type="dxa"/>
          </w:tcPr>
          <w:p w:rsidR="002F7B0B" w:rsidRPr="009C706A" w:rsidRDefault="002F7B0B" w:rsidP="002F7B0B">
            <w:pPr>
              <w:pStyle w:val="Default"/>
              <w:spacing w:after="0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- waarvan China </w:t>
            </w:r>
          </w:p>
        </w:tc>
        <w:tc>
          <w:tcPr>
            <w:tcW w:w="992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32.507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+38,5 </w:t>
            </w:r>
          </w:p>
        </w:tc>
        <w:tc>
          <w:tcPr>
            <w:tcW w:w="1275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165.321 </w:t>
            </w:r>
          </w:p>
        </w:tc>
        <w:tc>
          <w:tcPr>
            <w:tcW w:w="1560" w:type="dxa"/>
          </w:tcPr>
          <w:p w:rsidR="002F7B0B" w:rsidRPr="009C706A" w:rsidRDefault="002F7B0B" w:rsidP="002F7B0B">
            <w:pPr>
              <w:pStyle w:val="Default"/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9C706A">
              <w:rPr>
                <w:rFonts w:cs="Arial"/>
                <w:sz w:val="18"/>
                <w:szCs w:val="18"/>
              </w:rPr>
              <w:t xml:space="preserve">+21,6 </w:t>
            </w:r>
          </w:p>
        </w:tc>
      </w:tr>
    </w:tbl>
    <w:p w:rsidR="008726E1" w:rsidRPr="009C706A" w:rsidRDefault="008726E1" w:rsidP="002F7B0B">
      <w:pPr>
        <w:pStyle w:val="40Continoustext11pt"/>
        <w:spacing w:after="0" w:line="240" w:lineRule="auto"/>
        <w:rPr>
          <w:rFonts w:cs="Arial"/>
          <w:szCs w:val="22"/>
          <w:lang w:val="en-US"/>
        </w:rPr>
      </w:pPr>
    </w:p>
    <w:p w:rsidR="00EE4776" w:rsidRPr="009C706A" w:rsidRDefault="00EE4776" w:rsidP="00E2073C">
      <w:pPr>
        <w:pStyle w:val="40Continoustext11pt"/>
        <w:spacing w:after="0" w:line="360" w:lineRule="auto"/>
        <w:rPr>
          <w:rFonts w:cs="Arial"/>
          <w:szCs w:val="22"/>
          <w:lang w:val="en-US"/>
        </w:rPr>
      </w:pPr>
    </w:p>
    <w:p w:rsidR="00972CFF" w:rsidRPr="00EE4776" w:rsidRDefault="00972CFF" w:rsidP="00972CFF">
      <w:pPr>
        <w:pStyle w:val="40Continoustext11pt"/>
        <w:spacing w:after="0" w:line="360" w:lineRule="auto"/>
        <w:rPr>
          <w:rFonts w:ascii="Arial" w:eastAsia="Calibri" w:hAnsi="Arial" w:cs="Arial"/>
          <w:szCs w:val="22"/>
          <w:lang w:val="en-US"/>
        </w:rPr>
      </w:pPr>
    </w:p>
    <w:p w:rsidR="00F472B3" w:rsidRPr="006D1138" w:rsidRDefault="004940F7" w:rsidP="00EC6606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F472B3" w:rsidRPr="006D1138" w:rsidSect="00FC0B9F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3289" w:bottom="1276" w:left="1418" w:header="425" w:footer="57" w:gutter="0"/>
          <w:cols w:space="720"/>
          <w:formProt w:val="0"/>
          <w:titlePg/>
          <w:docGrid w:linePitch="299"/>
        </w:sectPr>
      </w:pPr>
      <w:r w:rsidRPr="006D1138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6D1138">
        <w:rPr>
          <w:rFonts w:cs="Arial"/>
          <w:b w:val="0"/>
          <w:szCs w:val="22"/>
          <w:lang w:val="nl-NL"/>
        </w:rPr>
        <w:br/>
      </w:r>
      <w:hyperlink r:id="rId15" w:history="1">
        <w:r w:rsidR="009A21DB" w:rsidRPr="006D1138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6D1138">
        <w:rPr>
          <w:rStyle w:val="41Continoustext11ptboldZchnZchn"/>
          <w:rFonts w:cs="Arial"/>
          <w:szCs w:val="22"/>
          <w:lang w:val="nl-NL"/>
        </w:rPr>
        <w:br/>
      </w:r>
      <w:hyperlink r:id="rId16" w:history="1">
        <w:r w:rsidR="009A21DB" w:rsidRPr="006D1138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6D1138">
        <w:rPr>
          <w:rStyle w:val="41Continoustext11ptboldZchnZchn"/>
          <w:rFonts w:cs="Arial"/>
          <w:szCs w:val="22"/>
          <w:lang w:val="nl-NL"/>
        </w:rPr>
        <w:br/>
      </w:r>
      <w:hyperlink r:id="rId17" w:history="1">
        <w:r w:rsidR="00934F1A" w:rsidRPr="00BC60D9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  <w:r w:rsidR="00934F1A">
        <w:rPr>
          <w:rFonts w:cs="Arial"/>
          <w:szCs w:val="22"/>
          <w:lang w:val="nl-NL"/>
        </w:rPr>
        <w:t xml:space="preserve"> </w:t>
      </w:r>
    </w:p>
    <w:p w:rsidR="008B15DA" w:rsidRPr="00F22721" w:rsidRDefault="00F22721" w:rsidP="00EC6606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  <w:r w:rsidRPr="00F22721">
        <w:rPr>
          <w:rStyle w:val="41Continoustext11ptboldZchnZchn"/>
          <w:rFonts w:cs="Arial"/>
          <w:szCs w:val="22"/>
          <w:lang w:val="nl-NL"/>
        </w:rPr>
        <w:lastRenderedPageBreak/>
        <w:t>P060</w:t>
      </w:r>
    </w:p>
    <w:sectPr w:rsidR="008B15DA" w:rsidRPr="00F22721" w:rsidSect="00140BE3">
      <w:headerReference w:type="even" r:id="rId18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96" w:rsidRDefault="00135096">
      <w:r>
        <w: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endnote>
  <w:endnote w:type="continuationSeparator" w:id="0">
    <w:p w:rsidR="00135096" w:rsidRDefault="00135096">
      <w:r>
        <w:continuation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Corpo S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altName w:val="Corpo SLig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BE103C">
    <w:pPr>
      <w:pStyle w:val="Footer9pt"/>
      <w:spacing w:after="0"/>
      <w:rPr>
        <w:lang w:val="nl-NL"/>
      </w:rPr>
    </w:pPr>
  </w:p>
  <w:p w:rsidR="00B3676B" w:rsidRPr="00BE103C" w:rsidRDefault="00B3676B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B3676B" w:rsidRDefault="00B3676B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EB0E8C" w:rsidRPr="001D16E9" w:rsidRDefault="00B3676B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13714D" w:rsidRDefault="00B3676B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96" w:rsidRDefault="00135096">
      <w:r>
        <w: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footnote>
  <w:footnote w:type="continuationSeparator" w:id="0">
    <w:p w:rsidR="00135096" w:rsidRDefault="00135096">
      <w:r>
        <w:continuationSeparator/>
      </w:r>
    </w:p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  <w:p w:rsidR="00135096" w:rsidRDefault="00135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  <w:p w:rsidR="00B3676B" w:rsidRDefault="00B3676B"/>
  <w:p w:rsidR="00B3676B" w:rsidRDefault="00B3676B"/>
  <w:p w:rsidR="00B3676B" w:rsidRDefault="00B3676B"/>
  <w:p w:rsidR="00B3676B" w:rsidRDefault="00B3676B"/>
  <w:p w:rsidR="00EB0E8C" w:rsidRDefault="00EB0E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90304"/>
    <w:multiLevelType w:val="hybridMultilevel"/>
    <w:tmpl w:val="B4768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89576E"/>
    <w:multiLevelType w:val="hybridMultilevel"/>
    <w:tmpl w:val="AD981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8106F8"/>
    <w:multiLevelType w:val="hybridMultilevel"/>
    <w:tmpl w:val="79CAAD70"/>
    <w:lvl w:ilvl="0" w:tplc="5442C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CE3225"/>
    <w:multiLevelType w:val="hybridMultilevel"/>
    <w:tmpl w:val="4A3A141A"/>
    <w:lvl w:ilvl="0" w:tplc="809C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5F3A44"/>
    <w:multiLevelType w:val="hybridMultilevel"/>
    <w:tmpl w:val="1CE25DE2"/>
    <w:lvl w:ilvl="0" w:tplc="41B6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C10DD0"/>
    <w:multiLevelType w:val="hybridMultilevel"/>
    <w:tmpl w:val="4F608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45E1DA3"/>
    <w:multiLevelType w:val="hybridMultilevel"/>
    <w:tmpl w:val="FDE01F30"/>
    <w:lvl w:ilvl="0" w:tplc="FC62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D664107"/>
    <w:multiLevelType w:val="multilevel"/>
    <w:tmpl w:val="E80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B7487"/>
    <w:multiLevelType w:val="hybridMultilevel"/>
    <w:tmpl w:val="8EC0E694"/>
    <w:lvl w:ilvl="0" w:tplc="5330C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8"/>
  </w:num>
  <w:num w:numId="14">
    <w:abstractNumId w:val="19"/>
  </w:num>
  <w:num w:numId="15">
    <w:abstractNumId w:val="29"/>
  </w:num>
  <w:num w:numId="16">
    <w:abstractNumId w:val="31"/>
  </w:num>
  <w:num w:numId="17">
    <w:abstractNumId w:val="21"/>
  </w:num>
  <w:num w:numId="18">
    <w:abstractNumId w:val="30"/>
  </w:num>
  <w:num w:numId="19">
    <w:abstractNumId w:val="25"/>
  </w:num>
  <w:num w:numId="20">
    <w:abstractNumId w:val="23"/>
  </w:num>
  <w:num w:numId="21">
    <w:abstractNumId w:val="17"/>
  </w:num>
  <w:num w:numId="22">
    <w:abstractNumId w:val="15"/>
  </w:num>
  <w:num w:numId="23">
    <w:abstractNumId w:val="20"/>
  </w:num>
  <w:num w:numId="24">
    <w:abstractNumId w:val="10"/>
  </w:num>
  <w:num w:numId="25">
    <w:abstractNumId w:val="18"/>
  </w:num>
  <w:num w:numId="26">
    <w:abstractNumId w:val="22"/>
  </w:num>
  <w:num w:numId="27">
    <w:abstractNumId w:val="16"/>
  </w:num>
  <w:num w:numId="28">
    <w:abstractNumId w:val="32"/>
  </w:num>
  <w:num w:numId="29">
    <w:abstractNumId w:val="11"/>
  </w:num>
  <w:num w:numId="30">
    <w:abstractNumId w:val="13"/>
  </w:num>
  <w:num w:numId="31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6"/>
  </w:num>
  <w:num w:numId="33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438D"/>
    <w:rsid w:val="0000480D"/>
    <w:rsid w:val="00005AEF"/>
    <w:rsid w:val="00006CE4"/>
    <w:rsid w:val="000106D2"/>
    <w:rsid w:val="000108E1"/>
    <w:rsid w:val="0001295F"/>
    <w:rsid w:val="00012CD1"/>
    <w:rsid w:val="0002292D"/>
    <w:rsid w:val="000243A7"/>
    <w:rsid w:val="00025459"/>
    <w:rsid w:val="0002722D"/>
    <w:rsid w:val="000277A5"/>
    <w:rsid w:val="0002796E"/>
    <w:rsid w:val="00027D16"/>
    <w:rsid w:val="000315AF"/>
    <w:rsid w:val="00032629"/>
    <w:rsid w:val="000328F4"/>
    <w:rsid w:val="00034F26"/>
    <w:rsid w:val="000406D2"/>
    <w:rsid w:val="00041283"/>
    <w:rsid w:val="0004210C"/>
    <w:rsid w:val="0004246E"/>
    <w:rsid w:val="0004287D"/>
    <w:rsid w:val="00046C57"/>
    <w:rsid w:val="00047E11"/>
    <w:rsid w:val="00047E2A"/>
    <w:rsid w:val="00047EFC"/>
    <w:rsid w:val="000507F0"/>
    <w:rsid w:val="00050C37"/>
    <w:rsid w:val="00053BCF"/>
    <w:rsid w:val="00057D99"/>
    <w:rsid w:val="00063EBA"/>
    <w:rsid w:val="00066B79"/>
    <w:rsid w:val="00067E1A"/>
    <w:rsid w:val="00070501"/>
    <w:rsid w:val="00071A01"/>
    <w:rsid w:val="00072140"/>
    <w:rsid w:val="00072A0C"/>
    <w:rsid w:val="000758D3"/>
    <w:rsid w:val="00080130"/>
    <w:rsid w:val="00084BEA"/>
    <w:rsid w:val="00086142"/>
    <w:rsid w:val="000861F6"/>
    <w:rsid w:val="00090E12"/>
    <w:rsid w:val="00091328"/>
    <w:rsid w:val="00091659"/>
    <w:rsid w:val="00092079"/>
    <w:rsid w:val="00094E7D"/>
    <w:rsid w:val="00095158"/>
    <w:rsid w:val="00095658"/>
    <w:rsid w:val="000966CE"/>
    <w:rsid w:val="00096B46"/>
    <w:rsid w:val="000976C7"/>
    <w:rsid w:val="000A27C2"/>
    <w:rsid w:val="000A301F"/>
    <w:rsid w:val="000A4029"/>
    <w:rsid w:val="000A410B"/>
    <w:rsid w:val="000A4D1B"/>
    <w:rsid w:val="000B0400"/>
    <w:rsid w:val="000B15E1"/>
    <w:rsid w:val="000B2392"/>
    <w:rsid w:val="000B2436"/>
    <w:rsid w:val="000B2C67"/>
    <w:rsid w:val="000B3B33"/>
    <w:rsid w:val="000B3F07"/>
    <w:rsid w:val="000B3FEF"/>
    <w:rsid w:val="000B4F80"/>
    <w:rsid w:val="000B7CBE"/>
    <w:rsid w:val="000C0298"/>
    <w:rsid w:val="000C0C0B"/>
    <w:rsid w:val="000C31B9"/>
    <w:rsid w:val="000C4169"/>
    <w:rsid w:val="000C44B0"/>
    <w:rsid w:val="000C5DB1"/>
    <w:rsid w:val="000C6032"/>
    <w:rsid w:val="000D06F4"/>
    <w:rsid w:val="000D17F1"/>
    <w:rsid w:val="000D1EE0"/>
    <w:rsid w:val="000D20D3"/>
    <w:rsid w:val="000D2813"/>
    <w:rsid w:val="000D419E"/>
    <w:rsid w:val="000D4879"/>
    <w:rsid w:val="000E0CC2"/>
    <w:rsid w:val="000E21DA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1C"/>
    <w:rsid w:val="00100A62"/>
    <w:rsid w:val="00100E6D"/>
    <w:rsid w:val="00104B51"/>
    <w:rsid w:val="00114920"/>
    <w:rsid w:val="00114B39"/>
    <w:rsid w:val="0012254E"/>
    <w:rsid w:val="00122D01"/>
    <w:rsid w:val="001245E0"/>
    <w:rsid w:val="00124B3E"/>
    <w:rsid w:val="00125752"/>
    <w:rsid w:val="00125D0E"/>
    <w:rsid w:val="00126A89"/>
    <w:rsid w:val="00126DFD"/>
    <w:rsid w:val="00127275"/>
    <w:rsid w:val="001314A6"/>
    <w:rsid w:val="0013432A"/>
    <w:rsid w:val="00134543"/>
    <w:rsid w:val="00135096"/>
    <w:rsid w:val="00136985"/>
    <w:rsid w:val="0013714D"/>
    <w:rsid w:val="00137157"/>
    <w:rsid w:val="00140BE3"/>
    <w:rsid w:val="00142F27"/>
    <w:rsid w:val="0014384B"/>
    <w:rsid w:val="00143A7E"/>
    <w:rsid w:val="00143E8C"/>
    <w:rsid w:val="00144215"/>
    <w:rsid w:val="00146E55"/>
    <w:rsid w:val="001470BB"/>
    <w:rsid w:val="001473C1"/>
    <w:rsid w:val="00150991"/>
    <w:rsid w:val="00151018"/>
    <w:rsid w:val="0015147E"/>
    <w:rsid w:val="00157585"/>
    <w:rsid w:val="00161337"/>
    <w:rsid w:val="001622E0"/>
    <w:rsid w:val="00162480"/>
    <w:rsid w:val="0016382C"/>
    <w:rsid w:val="00164E81"/>
    <w:rsid w:val="00165CF9"/>
    <w:rsid w:val="00171700"/>
    <w:rsid w:val="001724A1"/>
    <w:rsid w:val="00172535"/>
    <w:rsid w:val="00172869"/>
    <w:rsid w:val="0017312D"/>
    <w:rsid w:val="00173D1F"/>
    <w:rsid w:val="0017422F"/>
    <w:rsid w:val="001743C0"/>
    <w:rsid w:val="00175930"/>
    <w:rsid w:val="0017636B"/>
    <w:rsid w:val="001773F4"/>
    <w:rsid w:val="0018067E"/>
    <w:rsid w:val="001863A1"/>
    <w:rsid w:val="001904EF"/>
    <w:rsid w:val="00190D9F"/>
    <w:rsid w:val="0019145C"/>
    <w:rsid w:val="001930AD"/>
    <w:rsid w:val="0019323E"/>
    <w:rsid w:val="001942BB"/>
    <w:rsid w:val="00195990"/>
    <w:rsid w:val="00196350"/>
    <w:rsid w:val="00197CB6"/>
    <w:rsid w:val="001A089A"/>
    <w:rsid w:val="001A1C9D"/>
    <w:rsid w:val="001A2AAB"/>
    <w:rsid w:val="001A2D38"/>
    <w:rsid w:val="001A3B87"/>
    <w:rsid w:val="001A4456"/>
    <w:rsid w:val="001A468A"/>
    <w:rsid w:val="001B2DF7"/>
    <w:rsid w:val="001B3A25"/>
    <w:rsid w:val="001B59E2"/>
    <w:rsid w:val="001C26EC"/>
    <w:rsid w:val="001C30E3"/>
    <w:rsid w:val="001C6A1E"/>
    <w:rsid w:val="001C6FDD"/>
    <w:rsid w:val="001C7889"/>
    <w:rsid w:val="001D16E9"/>
    <w:rsid w:val="001D2AEC"/>
    <w:rsid w:val="001D3407"/>
    <w:rsid w:val="001D4BC6"/>
    <w:rsid w:val="001D53DA"/>
    <w:rsid w:val="001D7A4E"/>
    <w:rsid w:val="001D7DCD"/>
    <w:rsid w:val="001E0868"/>
    <w:rsid w:val="001E0EBF"/>
    <w:rsid w:val="001E1DB0"/>
    <w:rsid w:val="001E222A"/>
    <w:rsid w:val="001E6CDA"/>
    <w:rsid w:val="001E70B0"/>
    <w:rsid w:val="001F004B"/>
    <w:rsid w:val="001F0387"/>
    <w:rsid w:val="001F16DA"/>
    <w:rsid w:val="001F273D"/>
    <w:rsid w:val="001F2B82"/>
    <w:rsid w:val="001F2C1C"/>
    <w:rsid w:val="001F3637"/>
    <w:rsid w:val="00201C04"/>
    <w:rsid w:val="00202B7C"/>
    <w:rsid w:val="00207F45"/>
    <w:rsid w:val="00210374"/>
    <w:rsid w:val="00211BA3"/>
    <w:rsid w:val="00214FA1"/>
    <w:rsid w:val="00215CCD"/>
    <w:rsid w:val="0021680E"/>
    <w:rsid w:val="00216DDF"/>
    <w:rsid w:val="00217B4F"/>
    <w:rsid w:val="00220711"/>
    <w:rsid w:val="00220811"/>
    <w:rsid w:val="00222888"/>
    <w:rsid w:val="00223510"/>
    <w:rsid w:val="00223539"/>
    <w:rsid w:val="0022378E"/>
    <w:rsid w:val="00225883"/>
    <w:rsid w:val="00231626"/>
    <w:rsid w:val="002316DA"/>
    <w:rsid w:val="00231B4A"/>
    <w:rsid w:val="00231CDA"/>
    <w:rsid w:val="00234051"/>
    <w:rsid w:val="002368CF"/>
    <w:rsid w:val="00240B82"/>
    <w:rsid w:val="0024152E"/>
    <w:rsid w:val="00244434"/>
    <w:rsid w:val="00245667"/>
    <w:rsid w:val="002525DE"/>
    <w:rsid w:val="00260C43"/>
    <w:rsid w:val="00262899"/>
    <w:rsid w:val="00262C01"/>
    <w:rsid w:val="00263154"/>
    <w:rsid w:val="002650E2"/>
    <w:rsid w:val="00266D7A"/>
    <w:rsid w:val="00274CEA"/>
    <w:rsid w:val="0027577A"/>
    <w:rsid w:val="00277962"/>
    <w:rsid w:val="002810A9"/>
    <w:rsid w:val="00281D26"/>
    <w:rsid w:val="002840E3"/>
    <w:rsid w:val="0028471B"/>
    <w:rsid w:val="00286078"/>
    <w:rsid w:val="00290DA7"/>
    <w:rsid w:val="00291D82"/>
    <w:rsid w:val="00291F06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122F"/>
    <w:rsid w:val="002B0010"/>
    <w:rsid w:val="002B06C1"/>
    <w:rsid w:val="002B0B74"/>
    <w:rsid w:val="002B10DE"/>
    <w:rsid w:val="002B1182"/>
    <w:rsid w:val="002B1768"/>
    <w:rsid w:val="002B3288"/>
    <w:rsid w:val="002B3543"/>
    <w:rsid w:val="002B3A4C"/>
    <w:rsid w:val="002B4150"/>
    <w:rsid w:val="002B4625"/>
    <w:rsid w:val="002B4B86"/>
    <w:rsid w:val="002B4F16"/>
    <w:rsid w:val="002B561B"/>
    <w:rsid w:val="002B5A47"/>
    <w:rsid w:val="002B7C91"/>
    <w:rsid w:val="002C0C73"/>
    <w:rsid w:val="002C2983"/>
    <w:rsid w:val="002C3232"/>
    <w:rsid w:val="002C4607"/>
    <w:rsid w:val="002C48D4"/>
    <w:rsid w:val="002C4E8A"/>
    <w:rsid w:val="002C5151"/>
    <w:rsid w:val="002C54A4"/>
    <w:rsid w:val="002C5504"/>
    <w:rsid w:val="002C6FA8"/>
    <w:rsid w:val="002C7959"/>
    <w:rsid w:val="002D0373"/>
    <w:rsid w:val="002D188B"/>
    <w:rsid w:val="002D1FC1"/>
    <w:rsid w:val="002D25F2"/>
    <w:rsid w:val="002D39C3"/>
    <w:rsid w:val="002D3C38"/>
    <w:rsid w:val="002D6537"/>
    <w:rsid w:val="002D6DA0"/>
    <w:rsid w:val="002E0C30"/>
    <w:rsid w:val="002E1079"/>
    <w:rsid w:val="002E1CAA"/>
    <w:rsid w:val="002E2C88"/>
    <w:rsid w:val="002E4130"/>
    <w:rsid w:val="002F047A"/>
    <w:rsid w:val="002F1538"/>
    <w:rsid w:val="002F168F"/>
    <w:rsid w:val="002F2E48"/>
    <w:rsid w:val="002F3959"/>
    <w:rsid w:val="002F3E55"/>
    <w:rsid w:val="002F7B0B"/>
    <w:rsid w:val="002F7F66"/>
    <w:rsid w:val="00301953"/>
    <w:rsid w:val="0030257A"/>
    <w:rsid w:val="00302E35"/>
    <w:rsid w:val="0030347F"/>
    <w:rsid w:val="00303E02"/>
    <w:rsid w:val="00311880"/>
    <w:rsid w:val="00312502"/>
    <w:rsid w:val="0031373F"/>
    <w:rsid w:val="00313784"/>
    <w:rsid w:val="00315083"/>
    <w:rsid w:val="0031585D"/>
    <w:rsid w:val="00316C59"/>
    <w:rsid w:val="00317C34"/>
    <w:rsid w:val="00326040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29C0"/>
    <w:rsid w:val="00344571"/>
    <w:rsid w:val="003453B1"/>
    <w:rsid w:val="00345BAF"/>
    <w:rsid w:val="00346552"/>
    <w:rsid w:val="003518A8"/>
    <w:rsid w:val="003519A9"/>
    <w:rsid w:val="0035230B"/>
    <w:rsid w:val="003530DC"/>
    <w:rsid w:val="00354260"/>
    <w:rsid w:val="003559C8"/>
    <w:rsid w:val="00355F62"/>
    <w:rsid w:val="00356627"/>
    <w:rsid w:val="0035793F"/>
    <w:rsid w:val="00360910"/>
    <w:rsid w:val="0036272A"/>
    <w:rsid w:val="003636EE"/>
    <w:rsid w:val="003642D7"/>
    <w:rsid w:val="00373A53"/>
    <w:rsid w:val="00373BE6"/>
    <w:rsid w:val="00373D11"/>
    <w:rsid w:val="00374825"/>
    <w:rsid w:val="003756DA"/>
    <w:rsid w:val="00375DE4"/>
    <w:rsid w:val="003763DA"/>
    <w:rsid w:val="00376E6B"/>
    <w:rsid w:val="00380A95"/>
    <w:rsid w:val="00382763"/>
    <w:rsid w:val="00383235"/>
    <w:rsid w:val="003846FE"/>
    <w:rsid w:val="0038481E"/>
    <w:rsid w:val="00386F0F"/>
    <w:rsid w:val="00390CE9"/>
    <w:rsid w:val="00392161"/>
    <w:rsid w:val="00392241"/>
    <w:rsid w:val="00392C3F"/>
    <w:rsid w:val="00394012"/>
    <w:rsid w:val="003A0C07"/>
    <w:rsid w:val="003A139A"/>
    <w:rsid w:val="003A3BFD"/>
    <w:rsid w:val="003A4605"/>
    <w:rsid w:val="003A56FA"/>
    <w:rsid w:val="003A59CD"/>
    <w:rsid w:val="003A631A"/>
    <w:rsid w:val="003A6A53"/>
    <w:rsid w:val="003B1CF9"/>
    <w:rsid w:val="003B3609"/>
    <w:rsid w:val="003B4462"/>
    <w:rsid w:val="003C0058"/>
    <w:rsid w:val="003C110A"/>
    <w:rsid w:val="003C2063"/>
    <w:rsid w:val="003C5902"/>
    <w:rsid w:val="003C6193"/>
    <w:rsid w:val="003C664A"/>
    <w:rsid w:val="003C6D30"/>
    <w:rsid w:val="003C7373"/>
    <w:rsid w:val="003C7684"/>
    <w:rsid w:val="003D0F99"/>
    <w:rsid w:val="003D234D"/>
    <w:rsid w:val="003D31B2"/>
    <w:rsid w:val="003D3BCB"/>
    <w:rsid w:val="003D3BE6"/>
    <w:rsid w:val="003D40D9"/>
    <w:rsid w:val="003D422C"/>
    <w:rsid w:val="003D493B"/>
    <w:rsid w:val="003E0DDA"/>
    <w:rsid w:val="003E2627"/>
    <w:rsid w:val="003E2844"/>
    <w:rsid w:val="003E2B9D"/>
    <w:rsid w:val="003E5C42"/>
    <w:rsid w:val="003E61C7"/>
    <w:rsid w:val="003F0A4A"/>
    <w:rsid w:val="003F3D0C"/>
    <w:rsid w:val="00400500"/>
    <w:rsid w:val="0040274D"/>
    <w:rsid w:val="00403656"/>
    <w:rsid w:val="0040367E"/>
    <w:rsid w:val="00403988"/>
    <w:rsid w:val="00403E7F"/>
    <w:rsid w:val="00403FCC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91A"/>
    <w:rsid w:val="00417725"/>
    <w:rsid w:val="00420671"/>
    <w:rsid w:val="00424B76"/>
    <w:rsid w:val="00424D2D"/>
    <w:rsid w:val="00425A3D"/>
    <w:rsid w:val="00430AE9"/>
    <w:rsid w:val="004319A4"/>
    <w:rsid w:val="00434527"/>
    <w:rsid w:val="00434987"/>
    <w:rsid w:val="00442B47"/>
    <w:rsid w:val="00442B83"/>
    <w:rsid w:val="00444605"/>
    <w:rsid w:val="00444EC4"/>
    <w:rsid w:val="00446DF1"/>
    <w:rsid w:val="004501EB"/>
    <w:rsid w:val="00451DCB"/>
    <w:rsid w:val="00452A66"/>
    <w:rsid w:val="00454350"/>
    <w:rsid w:val="00455226"/>
    <w:rsid w:val="00457B29"/>
    <w:rsid w:val="0046283C"/>
    <w:rsid w:val="00465C39"/>
    <w:rsid w:val="00473AF9"/>
    <w:rsid w:val="00473DA1"/>
    <w:rsid w:val="00474CEE"/>
    <w:rsid w:val="00474E37"/>
    <w:rsid w:val="0047540E"/>
    <w:rsid w:val="00480DF2"/>
    <w:rsid w:val="00481C32"/>
    <w:rsid w:val="00484B6B"/>
    <w:rsid w:val="00485180"/>
    <w:rsid w:val="00486A03"/>
    <w:rsid w:val="0048779C"/>
    <w:rsid w:val="00492189"/>
    <w:rsid w:val="00492AE5"/>
    <w:rsid w:val="0049372C"/>
    <w:rsid w:val="004940F7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B16F1"/>
    <w:rsid w:val="004B23D8"/>
    <w:rsid w:val="004B3EBD"/>
    <w:rsid w:val="004B42B2"/>
    <w:rsid w:val="004B4400"/>
    <w:rsid w:val="004B55BC"/>
    <w:rsid w:val="004B6E55"/>
    <w:rsid w:val="004C0498"/>
    <w:rsid w:val="004C3532"/>
    <w:rsid w:val="004C3659"/>
    <w:rsid w:val="004C59F9"/>
    <w:rsid w:val="004C62C8"/>
    <w:rsid w:val="004C6995"/>
    <w:rsid w:val="004D2683"/>
    <w:rsid w:val="004D2BA4"/>
    <w:rsid w:val="004D2EDA"/>
    <w:rsid w:val="004D353D"/>
    <w:rsid w:val="004D4B8A"/>
    <w:rsid w:val="004D54CB"/>
    <w:rsid w:val="004D7E1D"/>
    <w:rsid w:val="004D7ED5"/>
    <w:rsid w:val="004E18FD"/>
    <w:rsid w:val="004E2A50"/>
    <w:rsid w:val="004E4EEB"/>
    <w:rsid w:val="004E5447"/>
    <w:rsid w:val="004E5542"/>
    <w:rsid w:val="004F1786"/>
    <w:rsid w:val="004F3A6F"/>
    <w:rsid w:val="004F3D6B"/>
    <w:rsid w:val="004F42C2"/>
    <w:rsid w:val="004F790E"/>
    <w:rsid w:val="0050015B"/>
    <w:rsid w:val="005012DC"/>
    <w:rsid w:val="005066AD"/>
    <w:rsid w:val="005077BA"/>
    <w:rsid w:val="00507C74"/>
    <w:rsid w:val="00507FD8"/>
    <w:rsid w:val="005100DD"/>
    <w:rsid w:val="00510442"/>
    <w:rsid w:val="00511CBB"/>
    <w:rsid w:val="00512DCA"/>
    <w:rsid w:val="00512F21"/>
    <w:rsid w:val="00517DA3"/>
    <w:rsid w:val="00525752"/>
    <w:rsid w:val="0053006F"/>
    <w:rsid w:val="00532881"/>
    <w:rsid w:val="0053375B"/>
    <w:rsid w:val="00534AF9"/>
    <w:rsid w:val="00540303"/>
    <w:rsid w:val="00540D8B"/>
    <w:rsid w:val="00542C02"/>
    <w:rsid w:val="005433FD"/>
    <w:rsid w:val="005501E9"/>
    <w:rsid w:val="00550C46"/>
    <w:rsid w:val="005528A9"/>
    <w:rsid w:val="00552F97"/>
    <w:rsid w:val="00557733"/>
    <w:rsid w:val="00560A84"/>
    <w:rsid w:val="00561532"/>
    <w:rsid w:val="00563439"/>
    <w:rsid w:val="00563522"/>
    <w:rsid w:val="00563F88"/>
    <w:rsid w:val="00564C1F"/>
    <w:rsid w:val="00566124"/>
    <w:rsid w:val="00567D72"/>
    <w:rsid w:val="00571601"/>
    <w:rsid w:val="005743FF"/>
    <w:rsid w:val="00574C11"/>
    <w:rsid w:val="00575846"/>
    <w:rsid w:val="005763A5"/>
    <w:rsid w:val="0058052D"/>
    <w:rsid w:val="00582408"/>
    <w:rsid w:val="00582794"/>
    <w:rsid w:val="00582AA7"/>
    <w:rsid w:val="00583070"/>
    <w:rsid w:val="00584FD0"/>
    <w:rsid w:val="00585AB7"/>
    <w:rsid w:val="00586121"/>
    <w:rsid w:val="00591160"/>
    <w:rsid w:val="00592306"/>
    <w:rsid w:val="00592C7A"/>
    <w:rsid w:val="005930F8"/>
    <w:rsid w:val="00593914"/>
    <w:rsid w:val="005952C5"/>
    <w:rsid w:val="00596987"/>
    <w:rsid w:val="00597459"/>
    <w:rsid w:val="00597557"/>
    <w:rsid w:val="005A276E"/>
    <w:rsid w:val="005A28F1"/>
    <w:rsid w:val="005A3AEC"/>
    <w:rsid w:val="005A5083"/>
    <w:rsid w:val="005A6ED3"/>
    <w:rsid w:val="005B1321"/>
    <w:rsid w:val="005B1571"/>
    <w:rsid w:val="005B1946"/>
    <w:rsid w:val="005B2DB2"/>
    <w:rsid w:val="005B3118"/>
    <w:rsid w:val="005B3AC7"/>
    <w:rsid w:val="005B6BD0"/>
    <w:rsid w:val="005B6CD5"/>
    <w:rsid w:val="005B756E"/>
    <w:rsid w:val="005B7DF1"/>
    <w:rsid w:val="005C322A"/>
    <w:rsid w:val="005C61E6"/>
    <w:rsid w:val="005D082B"/>
    <w:rsid w:val="005E264B"/>
    <w:rsid w:val="005E2B2E"/>
    <w:rsid w:val="005E3196"/>
    <w:rsid w:val="005E34EB"/>
    <w:rsid w:val="005E413A"/>
    <w:rsid w:val="005E438C"/>
    <w:rsid w:val="005E455B"/>
    <w:rsid w:val="005E53A4"/>
    <w:rsid w:val="005F0D32"/>
    <w:rsid w:val="005F47FC"/>
    <w:rsid w:val="005F52F2"/>
    <w:rsid w:val="005F6404"/>
    <w:rsid w:val="005F7849"/>
    <w:rsid w:val="006013CB"/>
    <w:rsid w:val="00604990"/>
    <w:rsid w:val="00606A3F"/>
    <w:rsid w:val="00607074"/>
    <w:rsid w:val="006079DD"/>
    <w:rsid w:val="00611BDC"/>
    <w:rsid w:val="00611DA0"/>
    <w:rsid w:val="00612027"/>
    <w:rsid w:val="00612232"/>
    <w:rsid w:val="00612814"/>
    <w:rsid w:val="00614AD9"/>
    <w:rsid w:val="006201CA"/>
    <w:rsid w:val="0062191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8B9"/>
    <w:rsid w:val="00634748"/>
    <w:rsid w:val="00634903"/>
    <w:rsid w:val="006357DD"/>
    <w:rsid w:val="006366DB"/>
    <w:rsid w:val="00643480"/>
    <w:rsid w:val="00644687"/>
    <w:rsid w:val="00653DE2"/>
    <w:rsid w:val="00653F2A"/>
    <w:rsid w:val="00654298"/>
    <w:rsid w:val="006547AF"/>
    <w:rsid w:val="006547B7"/>
    <w:rsid w:val="006550D5"/>
    <w:rsid w:val="00660534"/>
    <w:rsid w:val="00661217"/>
    <w:rsid w:val="006652CD"/>
    <w:rsid w:val="00665EAE"/>
    <w:rsid w:val="00671666"/>
    <w:rsid w:val="006728AF"/>
    <w:rsid w:val="006742B8"/>
    <w:rsid w:val="00675014"/>
    <w:rsid w:val="0068059D"/>
    <w:rsid w:val="00680A95"/>
    <w:rsid w:val="00681193"/>
    <w:rsid w:val="006835CB"/>
    <w:rsid w:val="006838B6"/>
    <w:rsid w:val="006840BF"/>
    <w:rsid w:val="00686429"/>
    <w:rsid w:val="00686AE7"/>
    <w:rsid w:val="0068783D"/>
    <w:rsid w:val="00687A9E"/>
    <w:rsid w:val="00687B03"/>
    <w:rsid w:val="006917DB"/>
    <w:rsid w:val="00693EEB"/>
    <w:rsid w:val="0069500D"/>
    <w:rsid w:val="0069735F"/>
    <w:rsid w:val="006A0493"/>
    <w:rsid w:val="006A27E8"/>
    <w:rsid w:val="006A35D7"/>
    <w:rsid w:val="006A3B20"/>
    <w:rsid w:val="006A633D"/>
    <w:rsid w:val="006B153D"/>
    <w:rsid w:val="006B1A72"/>
    <w:rsid w:val="006B2448"/>
    <w:rsid w:val="006B2D3F"/>
    <w:rsid w:val="006B35DD"/>
    <w:rsid w:val="006B5F08"/>
    <w:rsid w:val="006B75EB"/>
    <w:rsid w:val="006C1089"/>
    <w:rsid w:val="006C5CB5"/>
    <w:rsid w:val="006C6580"/>
    <w:rsid w:val="006C79B7"/>
    <w:rsid w:val="006D0C01"/>
    <w:rsid w:val="006D1138"/>
    <w:rsid w:val="006D30EB"/>
    <w:rsid w:val="006D3D33"/>
    <w:rsid w:val="006D4C31"/>
    <w:rsid w:val="006D6313"/>
    <w:rsid w:val="006E2547"/>
    <w:rsid w:val="006E43F4"/>
    <w:rsid w:val="006E7771"/>
    <w:rsid w:val="006F105F"/>
    <w:rsid w:val="006F1B11"/>
    <w:rsid w:val="006F2854"/>
    <w:rsid w:val="006F59B1"/>
    <w:rsid w:val="0070237C"/>
    <w:rsid w:val="0070346D"/>
    <w:rsid w:val="007040E5"/>
    <w:rsid w:val="007132EF"/>
    <w:rsid w:val="00713B1F"/>
    <w:rsid w:val="007145F2"/>
    <w:rsid w:val="00715745"/>
    <w:rsid w:val="0071684E"/>
    <w:rsid w:val="0071718F"/>
    <w:rsid w:val="007175D9"/>
    <w:rsid w:val="00720372"/>
    <w:rsid w:val="00721B3A"/>
    <w:rsid w:val="00722CBD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400C5"/>
    <w:rsid w:val="007400D7"/>
    <w:rsid w:val="007416AC"/>
    <w:rsid w:val="00742374"/>
    <w:rsid w:val="007449A1"/>
    <w:rsid w:val="00746166"/>
    <w:rsid w:val="00746D18"/>
    <w:rsid w:val="0075023E"/>
    <w:rsid w:val="007518F4"/>
    <w:rsid w:val="00752347"/>
    <w:rsid w:val="00752472"/>
    <w:rsid w:val="00755D0C"/>
    <w:rsid w:val="00757389"/>
    <w:rsid w:val="00761545"/>
    <w:rsid w:val="007662DD"/>
    <w:rsid w:val="00767109"/>
    <w:rsid w:val="007738ED"/>
    <w:rsid w:val="00773EEE"/>
    <w:rsid w:val="00776F4B"/>
    <w:rsid w:val="00781506"/>
    <w:rsid w:val="00782A42"/>
    <w:rsid w:val="007854AC"/>
    <w:rsid w:val="007856CF"/>
    <w:rsid w:val="007922C7"/>
    <w:rsid w:val="00794704"/>
    <w:rsid w:val="00795965"/>
    <w:rsid w:val="00796BC5"/>
    <w:rsid w:val="00797D59"/>
    <w:rsid w:val="007A043F"/>
    <w:rsid w:val="007A0B39"/>
    <w:rsid w:val="007A1E0D"/>
    <w:rsid w:val="007A3414"/>
    <w:rsid w:val="007A463D"/>
    <w:rsid w:val="007A46A8"/>
    <w:rsid w:val="007A5A70"/>
    <w:rsid w:val="007B1DE9"/>
    <w:rsid w:val="007B2F9B"/>
    <w:rsid w:val="007B52A5"/>
    <w:rsid w:val="007B5466"/>
    <w:rsid w:val="007B73E9"/>
    <w:rsid w:val="007B7A4F"/>
    <w:rsid w:val="007C0418"/>
    <w:rsid w:val="007C1993"/>
    <w:rsid w:val="007C22C7"/>
    <w:rsid w:val="007C3796"/>
    <w:rsid w:val="007C52D1"/>
    <w:rsid w:val="007C5AE6"/>
    <w:rsid w:val="007C71A7"/>
    <w:rsid w:val="007D1198"/>
    <w:rsid w:val="007D1648"/>
    <w:rsid w:val="007D44D3"/>
    <w:rsid w:val="007D5384"/>
    <w:rsid w:val="007D596C"/>
    <w:rsid w:val="007D603E"/>
    <w:rsid w:val="007D6E3E"/>
    <w:rsid w:val="007D78F0"/>
    <w:rsid w:val="007D7DDE"/>
    <w:rsid w:val="007E0C57"/>
    <w:rsid w:val="007E1634"/>
    <w:rsid w:val="007E1A11"/>
    <w:rsid w:val="007E673E"/>
    <w:rsid w:val="007E7C5D"/>
    <w:rsid w:val="007F1170"/>
    <w:rsid w:val="007F222E"/>
    <w:rsid w:val="007F2883"/>
    <w:rsid w:val="007F33C1"/>
    <w:rsid w:val="007F48EB"/>
    <w:rsid w:val="007F5654"/>
    <w:rsid w:val="007F769D"/>
    <w:rsid w:val="008008C3"/>
    <w:rsid w:val="00805A2B"/>
    <w:rsid w:val="00806864"/>
    <w:rsid w:val="00811010"/>
    <w:rsid w:val="00811881"/>
    <w:rsid w:val="00812C24"/>
    <w:rsid w:val="00812F2C"/>
    <w:rsid w:val="0081594D"/>
    <w:rsid w:val="00815EAE"/>
    <w:rsid w:val="008164DB"/>
    <w:rsid w:val="00821333"/>
    <w:rsid w:val="008213C1"/>
    <w:rsid w:val="0082326C"/>
    <w:rsid w:val="00825B50"/>
    <w:rsid w:val="008268E3"/>
    <w:rsid w:val="00827437"/>
    <w:rsid w:val="00831069"/>
    <w:rsid w:val="008334A3"/>
    <w:rsid w:val="00834F31"/>
    <w:rsid w:val="008365F7"/>
    <w:rsid w:val="00836FF0"/>
    <w:rsid w:val="00841D99"/>
    <w:rsid w:val="008437BD"/>
    <w:rsid w:val="008442B0"/>
    <w:rsid w:val="008469BE"/>
    <w:rsid w:val="00851BC4"/>
    <w:rsid w:val="00851F7D"/>
    <w:rsid w:val="0086114A"/>
    <w:rsid w:val="0086172E"/>
    <w:rsid w:val="008619E3"/>
    <w:rsid w:val="00862BCC"/>
    <w:rsid w:val="00864B36"/>
    <w:rsid w:val="0087002E"/>
    <w:rsid w:val="008723CE"/>
    <w:rsid w:val="008726E1"/>
    <w:rsid w:val="00872FC8"/>
    <w:rsid w:val="008730EF"/>
    <w:rsid w:val="00873C9E"/>
    <w:rsid w:val="008750AE"/>
    <w:rsid w:val="00875CC9"/>
    <w:rsid w:val="008866AC"/>
    <w:rsid w:val="00886946"/>
    <w:rsid w:val="00886B96"/>
    <w:rsid w:val="00886E81"/>
    <w:rsid w:val="008900A9"/>
    <w:rsid w:val="008905FE"/>
    <w:rsid w:val="00890AC0"/>
    <w:rsid w:val="00890F1A"/>
    <w:rsid w:val="00891354"/>
    <w:rsid w:val="00892833"/>
    <w:rsid w:val="00894D10"/>
    <w:rsid w:val="00894FEE"/>
    <w:rsid w:val="008956A4"/>
    <w:rsid w:val="00896BF3"/>
    <w:rsid w:val="00896DC3"/>
    <w:rsid w:val="008A1FE5"/>
    <w:rsid w:val="008A3066"/>
    <w:rsid w:val="008A5CE8"/>
    <w:rsid w:val="008A6FD9"/>
    <w:rsid w:val="008A70D8"/>
    <w:rsid w:val="008B15DA"/>
    <w:rsid w:val="008B5417"/>
    <w:rsid w:val="008B5539"/>
    <w:rsid w:val="008B7D99"/>
    <w:rsid w:val="008C09D6"/>
    <w:rsid w:val="008C1B7B"/>
    <w:rsid w:val="008C258B"/>
    <w:rsid w:val="008C52B7"/>
    <w:rsid w:val="008C5923"/>
    <w:rsid w:val="008C594A"/>
    <w:rsid w:val="008C70D0"/>
    <w:rsid w:val="008D09B6"/>
    <w:rsid w:val="008D2021"/>
    <w:rsid w:val="008D300C"/>
    <w:rsid w:val="008D4661"/>
    <w:rsid w:val="008E0C1D"/>
    <w:rsid w:val="008E0C8F"/>
    <w:rsid w:val="008E1565"/>
    <w:rsid w:val="008E2075"/>
    <w:rsid w:val="008E2986"/>
    <w:rsid w:val="008E2BAB"/>
    <w:rsid w:val="008E3314"/>
    <w:rsid w:val="008E399C"/>
    <w:rsid w:val="008E3A95"/>
    <w:rsid w:val="008E3E3F"/>
    <w:rsid w:val="008E42B5"/>
    <w:rsid w:val="008E58A4"/>
    <w:rsid w:val="008E5AAB"/>
    <w:rsid w:val="008E7C82"/>
    <w:rsid w:val="008F2F89"/>
    <w:rsid w:val="008F384E"/>
    <w:rsid w:val="008F4553"/>
    <w:rsid w:val="008F66F7"/>
    <w:rsid w:val="009038C9"/>
    <w:rsid w:val="009055C2"/>
    <w:rsid w:val="0090623D"/>
    <w:rsid w:val="00912A09"/>
    <w:rsid w:val="00912A7E"/>
    <w:rsid w:val="009134F2"/>
    <w:rsid w:val="009143FD"/>
    <w:rsid w:val="00914C27"/>
    <w:rsid w:val="00916781"/>
    <w:rsid w:val="00916C7E"/>
    <w:rsid w:val="00921D1B"/>
    <w:rsid w:val="00922B35"/>
    <w:rsid w:val="00926418"/>
    <w:rsid w:val="00926BA3"/>
    <w:rsid w:val="00927051"/>
    <w:rsid w:val="0093423E"/>
    <w:rsid w:val="00934F1A"/>
    <w:rsid w:val="0093589D"/>
    <w:rsid w:val="00936477"/>
    <w:rsid w:val="00937135"/>
    <w:rsid w:val="0094012B"/>
    <w:rsid w:val="00943E85"/>
    <w:rsid w:val="00944956"/>
    <w:rsid w:val="009468A9"/>
    <w:rsid w:val="009503CD"/>
    <w:rsid w:val="009525D4"/>
    <w:rsid w:val="00954628"/>
    <w:rsid w:val="00955C78"/>
    <w:rsid w:val="00957CDB"/>
    <w:rsid w:val="00960A94"/>
    <w:rsid w:val="00960BB1"/>
    <w:rsid w:val="00962164"/>
    <w:rsid w:val="00963DD2"/>
    <w:rsid w:val="0096658D"/>
    <w:rsid w:val="0096751E"/>
    <w:rsid w:val="0097172A"/>
    <w:rsid w:val="00972CFF"/>
    <w:rsid w:val="00973943"/>
    <w:rsid w:val="00973D3E"/>
    <w:rsid w:val="009756EC"/>
    <w:rsid w:val="00977065"/>
    <w:rsid w:val="009806B5"/>
    <w:rsid w:val="00980930"/>
    <w:rsid w:val="00981CBB"/>
    <w:rsid w:val="0098341F"/>
    <w:rsid w:val="00987E5B"/>
    <w:rsid w:val="009910DE"/>
    <w:rsid w:val="00992AA1"/>
    <w:rsid w:val="00992E34"/>
    <w:rsid w:val="00994053"/>
    <w:rsid w:val="009957DC"/>
    <w:rsid w:val="009A1632"/>
    <w:rsid w:val="009A1D15"/>
    <w:rsid w:val="009A1F8D"/>
    <w:rsid w:val="009A21DB"/>
    <w:rsid w:val="009A395D"/>
    <w:rsid w:val="009A6F35"/>
    <w:rsid w:val="009B056B"/>
    <w:rsid w:val="009B1CE2"/>
    <w:rsid w:val="009B5040"/>
    <w:rsid w:val="009B5123"/>
    <w:rsid w:val="009B76B5"/>
    <w:rsid w:val="009C0FB0"/>
    <w:rsid w:val="009C156E"/>
    <w:rsid w:val="009C1915"/>
    <w:rsid w:val="009C4D78"/>
    <w:rsid w:val="009C5A09"/>
    <w:rsid w:val="009C706A"/>
    <w:rsid w:val="009D2934"/>
    <w:rsid w:val="009D5C58"/>
    <w:rsid w:val="009D6C08"/>
    <w:rsid w:val="009D6F3E"/>
    <w:rsid w:val="009E3A98"/>
    <w:rsid w:val="009E4BD3"/>
    <w:rsid w:val="009E6DE5"/>
    <w:rsid w:val="009E751C"/>
    <w:rsid w:val="009F0854"/>
    <w:rsid w:val="009F0BD7"/>
    <w:rsid w:val="009F0D2F"/>
    <w:rsid w:val="009F2900"/>
    <w:rsid w:val="009F7378"/>
    <w:rsid w:val="009F7BEF"/>
    <w:rsid w:val="00A00309"/>
    <w:rsid w:val="00A02722"/>
    <w:rsid w:val="00A0420C"/>
    <w:rsid w:val="00A047FC"/>
    <w:rsid w:val="00A053CB"/>
    <w:rsid w:val="00A06B17"/>
    <w:rsid w:val="00A07204"/>
    <w:rsid w:val="00A10CF0"/>
    <w:rsid w:val="00A15E85"/>
    <w:rsid w:val="00A161E7"/>
    <w:rsid w:val="00A227D9"/>
    <w:rsid w:val="00A22C34"/>
    <w:rsid w:val="00A240B7"/>
    <w:rsid w:val="00A24837"/>
    <w:rsid w:val="00A24B8A"/>
    <w:rsid w:val="00A2514B"/>
    <w:rsid w:val="00A25C1A"/>
    <w:rsid w:val="00A26CFF"/>
    <w:rsid w:val="00A27489"/>
    <w:rsid w:val="00A3795A"/>
    <w:rsid w:val="00A406B6"/>
    <w:rsid w:val="00A40F62"/>
    <w:rsid w:val="00A42878"/>
    <w:rsid w:val="00A4288D"/>
    <w:rsid w:val="00A435FA"/>
    <w:rsid w:val="00A43DDA"/>
    <w:rsid w:val="00A4529F"/>
    <w:rsid w:val="00A47B7E"/>
    <w:rsid w:val="00A502E3"/>
    <w:rsid w:val="00A507EB"/>
    <w:rsid w:val="00A50B56"/>
    <w:rsid w:val="00A51E8C"/>
    <w:rsid w:val="00A5257B"/>
    <w:rsid w:val="00A54087"/>
    <w:rsid w:val="00A541F4"/>
    <w:rsid w:val="00A5513E"/>
    <w:rsid w:val="00A57979"/>
    <w:rsid w:val="00A62D38"/>
    <w:rsid w:val="00A6385E"/>
    <w:rsid w:val="00A63C2D"/>
    <w:rsid w:val="00A63D80"/>
    <w:rsid w:val="00A64BE1"/>
    <w:rsid w:val="00A65D37"/>
    <w:rsid w:val="00A66315"/>
    <w:rsid w:val="00A71340"/>
    <w:rsid w:val="00A7173B"/>
    <w:rsid w:val="00A71C5E"/>
    <w:rsid w:val="00A722F2"/>
    <w:rsid w:val="00A7390F"/>
    <w:rsid w:val="00A74FAF"/>
    <w:rsid w:val="00A75AF6"/>
    <w:rsid w:val="00A761BE"/>
    <w:rsid w:val="00A77F32"/>
    <w:rsid w:val="00A8048A"/>
    <w:rsid w:val="00A8140A"/>
    <w:rsid w:val="00A82091"/>
    <w:rsid w:val="00A83B42"/>
    <w:rsid w:val="00A83D77"/>
    <w:rsid w:val="00A847F3"/>
    <w:rsid w:val="00A857AC"/>
    <w:rsid w:val="00A9127C"/>
    <w:rsid w:val="00A925FB"/>
    <w:rsid w:val="00A9315A"/>
    <w:rsid w:val="00A94C07"/>
    <w:rsid w:val="00A975AD"/>
    <w:rsid w:val="00AA07DD"/>
    <w:rsid w:val="00AA1883"/>
    <w:rsid w:val="00AA1BC8"/>
    <w:rsid w:val="00AA32B4"/>
    <w:rsid w:val="00AA4203"/>
    <w:rsid w:val="00AA44B4"/>
    <w:rsid w:val="00AA4871"/>
    <w:rsid w:val="00AA67F4"/>
    <w:rsid w:val="00AA697F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C027B"/>
    <w:rsid w:val="00AC0F67"/>
    <w:rsid w:val="00AC11B2"/>
    <w:rsid w:val="00AC3D8A"/>
    <w:rsid w:val="00AD1A74"/>
    <w:rsid w:val="00AD1CC1"/>
    <w:rsid w:val="00AD5C48"/>
    <w:rsid w:val="00AD666E"/>
    <w:rsid w:val="00AE0E00"/>
    <w:rsid w:val="00AE22A0"/>
    <w:rsid w:val="00AE38DF"/>
    <w:rsid w:val="00AE4317"/>
    <w:rsid w:val="00AE6B19"/>
    <w:rsid w:val="00AE733B"/>
    <w:rsid w:val="00AE7904"/>
    <w:rsid w:val="00AE7C4B"/>
    <w:rsid w:val="00AF27DF"/>
    <w:rsid w:val="00AF580A"/>
    <w:rsid w:val="00AF61F8"/>
    <w:rsid w:val="00AF7DA1"/>
    <w:rsid w:val="00B04322"/>
    <w:rsid w:val="00B06266"/>
    <w:rsid w:val="00B072F2"/>
    <w:rsid w:val="00B0734C"/>
    <w:rsid w:val="00B07DF9"/>
    <w:rsid w:val="00B116B1"/>
    <w:rsid w:val="00B12B3E"/>
    <w:rsid w:val="00B1300A"/>
    <w:rsid w:val="00B137DE"/>
    <w:rsid w:val="00B14B82"/>
    <w:rsid w:val="00B16EE7"/>
    <w:rsid w:val="00B17D77"/>
    <w:rsid w:val="00B23241"/>
    <w:rsid w:val="00B237BE"/>
    <w:rsid w:val="00B306D4"/>
    <w:rsid w:val="00B31B18"/>
    <w:rsid w:val="00B33269"/>
    <w:rsid w:val="00B3589F"/>
    <w:rsid w:val="00B36697"/>
    <w:rsid w:val="00B3676B"/>
    <w:rsid w:val="00B3714A"/>
    <w:rsid w:val="00B4084A"/>
    <w:rsid w:val="00B40F6F"/>
    <w:rsid w:val="00B415E9"/>
    <w:rsid w:val="00B444E8"/>
    <w:rsid w:val="00B44624"/>
    <w:rsid w:val="00B44789"/>
    <w:rsid w:val="00B45DC0"/>
    <w:rsid w:val="00B47380"/>
    <w:rsid w:val="00B56D29"/>
    <w:rsid w:val="00B60413"/>
    <w:rsid w:val="00B60534"/>
    <w:rsid w:val="00B60B60"/>
    <w:rsid w:val="00B61084"/>
    <w:rsid w:val="00B62A18"/>
    <w:rsid w:val="00B64371"/>
    <w:rsid w:val="00B65069"/>
    <w:rsid w:val="00B65AE8"/>
    <w:rsid w:val="00B66601"/>
    <w:rsid w:val="00B67EA3"/>
    <w:rsid w:val="00B70229"/>
    <w:rsid w:val="00B70A70"/>
    <w:rsid w:val="00B71501"/>
    <w:rsid w:val="00B71766"/>
    <w:rsid w:val="00B7192E"/>
    <w:rsid w:val="00B72173"/>
    <w:rsid w:val="00B7422D"/>
    <w:rsid w:val="00B8020D"/>
    <w:rsid w:val="00B82718"/>
    <w:rsid w:val="00B83257"/>
    <w:rsid w:val="00B84D07"/>
    <w:rsid w:val="00B86B0D"/>
    <w:rsid w:val="00B8798C"/>
    <w:rsid w:val="00B91ACC"/>
    <w:rsid w:val="00B93197"/>
    <w:rsid w:val="00B94EB8"/>
    <w:rsid w:val="00B94EFD"/>
    <w:rsid w:val="00BA0744"/>
    <w:rsid w:val="00BA105E"/>
    <w:rsid w:val="00BA107D"/>
    <w:rsid w:val="00BA5054"/>
    <w:rsid w:val="00BA6087"/>
    <w:rsid w:val="00BA64BD"/>
    <w:rsid w:val="00BB061A"/>
    <w:rsid w:val="00BB12CE"/>
    <w:rsid w:val="00BB1967"/>
    <w:rsid w:val="00BB4CF4"/>
    <w:rsid w:val="00BB5492"/>
    <w:rsid w:val="00BB5902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D1834"/>
    <w:rsid w:val="00BD25ED"/>
    <w:rsid w:val="00BD2A91"/>
    <w:rsid w:val="00BD2B0A"/>
    <w:rsid w:val="00BD2F69"/>
    <w:rsid w:val="00BD3A35"/>
    <w:rsid w:val="00BD3E7B"/>
    <w:rsid w:val="00BD40AA"/>
    <w:rsid w:val="00BD541A"/>
    <w:rsid w:val="00BD666A"/>
    <w:rsid w:val="00BD6B78"/>
    <w:rsid w:val="00BD7117"/>
    <w:rsid w:val="00BD7532"/>
    <w:rsid w:val="00BE103C"/>
    <w:rsid w:val="00BE2545"/>
    <w:rsid w:val="00BE78A2"/>
    <w:rsid w:val="00BF3553"/>
    <w:rsid w:val="00BF7156"/>
    <w:rsid w:val="00BF7748"/>
    <w:rsid w:val="00C00832"/>
    <w:rsid w:val="00C018C1"/>
    <w:rsid w:val="00C019FD"/>
    <w:rsid w:val="00C031D5"/>
    <w:rsid w:val="00C04136"/>
    <w:rsid w:val="00C10A36"/>
    <w:rsid w:val="00C10D75"/>
    <w:rsid w:val="00C1166F"/>
    <w:rsid w:val="00C12E7A"/>
    <w:rsid w:val="00C13A8F"/>
    <w:rsid w:val="00C14B4B"/>
    <w:rsid w:val="00C169DC"/>
    <w:rsid w:val="00C17E53"/>
    <w:rsid w:val="00C22756"/>
    <w:rsid w:val="00C243D5"/>
    <w:rsid w:val="00C24422"/>
    <w:rsid w:val="00C24E68"/>
    <w:rsid w:val="00C25158"/>
    <w:rsid w:val="00C267FD"/>
    <w:rsid w:val="00C270F7"/>
    <w:rsid w:val="00C2736D"/>
    <w:rsid w:val="00C275AD"/>
    <w:rsid w:val="00C30129"/>
    <w:rsid w:val="00C31431"/>
    <w:rsid w:val="00C31799"/>
    <w:rsid w:val="00C31E0B"/>
    <w:rsid w:val="00C33322"/>
    <w:rsid w:val="00C367F2"/>
    <w:rsid w:val="00C36BCC"/>
    <w:rsid w:val="00C41659"/>
    <w:rsid w:val="00C42C14"/>
    <w:rsid w:val="00C43E0A"/>
    <w:rsid w:val="00C4590F"/>
    <w:rsid w:val="00C46923"/>
    <w:rsid w:val="00C46AF8"/>
    <w:rsid w:val="00C54AED"/>
    <w:rsid w:val="00C54BB7"/>
    <w:rsid w:val="00C54E17"/>
    <w:rsid w:val="00C54FC7"/>
    <w:rsid w:val="00C55895"/>
    <w:rsid w:val="00C604EF"/>
    <w:rsid w:val="00C61296"/>
    <w:rsid w:val="00C61E42"/>
    <w:rsid w:val="00C64897"/>
    <w:rsid w:val="00C65364"/>
    <w:rsid w:val="00C65A29"/>
    <w:rsid w:val="00C675D6"/>
    <w:rsid w:val="00C67EA1"/>
    <w:rsid w:val="00C74CEE"/>
    <w:rsid w:val="00C7570F"/>
    <w:rsid w:val="00C80B8D"/>
    <w:rsid w:val="00C825CD"/>
    <w:rsid w:val="00C84CC8"/>
    <w:rsid w:val="00C865D2"/>
    <w:rsid w:val="00C86C6E"/>
    <w:rsid w:val="00C87510"/>
    <w:rsid w:val="00C87A51"/>
    <w:rsid w:val="00C9198D"/>
    <w:rsid w:val="00C92A7E"/>
    <w:rsid w:val="00C92EB1"/>
    <w:rsid w:val="00C96CA4"/>
    <w:rsid w:val="00C96CB7"/>
    <w:rsid w:val="00C977BA"/>
    <w:rsid w:val="00C97B04"/>
    <w:rsid w:val="00C97E22"/>
    <w:rsid w:val="00CA1C43"/>
    <w:rsid w:val="00CA227A"/>
    <w:rsid w:val="00CA4CB7"/>
    <w:rsid w:val="00CA5233"/>
    <w:rsid w:val="00CB4866"/>
    <w:rsid w:val="00CB4E97"/>
    <w:rsid w:val="00CB691E"/>
    <w:rsid w:val="00CB6F71"/>
    <w:rsid w:val="00CC1A2D"/>
    <w:rsid w:val="00CC30EB"/>
    <w:rsid w:val="00CC3965"/>
    <w:rsid w:val="00CC3A56"/>
    <w:rsid w:val="00CC4290"/>
    <w:rsid w:val="00CC4A02"/>
    <w:rsid w:val="00CC749B"/>
    <w:rsid w:val="00CD0E15"/>
    <w:rsid w:val="00CD147A"/>
    <w:rsid w:val="00CD1853"/>
    <w:rsid w:val="00CD59A0"/>
    <w:rsid w:val="00CD67C5"/>
    <w:rsid w:val="00CD6E15"/>
    <w:rsid w:val="00CD72FD"/>
    <w:rsid w:val="00CE364C"/>
    <w:rsid w:val="00CE3762"/>
    <w:rsid w:val="00CE45EA"/>
    <w:rsid w:val="00CE4773"/>
    <w:rsid w:val="00CE4CED"/>
    <w:rsid w:val="00CE6EDA"/>
    <w:rsid w:val="00CE7B13"/>
    <w:rsid w:val="00CF3A06"/>
    <w:rsid w:val="00CF74FA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343C"/>
    <w:rsid w:val="00D13DCA"/>
    <w:rsid w:val="00D15FE3"/>
    <w:rsid w:val="00D166A3"/>
    <w:rsid w:val="00D21C26"/>
    <w:rsid w:val="00D21F82"/>
    <w:rsid w:val="00D22139"/>
    <w:rsid w:val="00D245FE"/>
    <w:rsid w:val="00D2587A"/>
    <w:rsid w:val="00D27B1C"/>
    <w:rsid w:val="00D27F9B"/>
    <w:rsid w:val="00D30A60"/>
    <w:rsid w:val="00D3180E"/>
    <w:rsid w:val="00D33347"/>
    <w:rsid w:val="00D36D3D"/>
    <w:rsid w:val="00D4009A"/>
    <w:rsid w:val="00D41AD1"/>
    <w:rsid w:val="00D43C5D"/>
    <w:rsid w:val="00D531DF"/>
    <w:rsid w:val="00D548AD"/>
    <w:rsid w:val="00D55B58"/>
    <w:rsid w:val="00D612D3"/>
    <w:rsid w:val="00D618FC"/>
    <w:rsid w:val="00D61A3B"/>
    <w:rsid w:val="00D64221"/>
    <w:rsid w:val="00D64351"/>
    <w:rsid w:val="00D6437E"/>
    <w:rsid w:val="00D655E6"/>
    <w:rsid w:val="00D67FF1"/>
    <w:rsid w:val="00D7069A"/>
    <w:rsid w:val="00D7189F"/>
    <w:rsid w:val="00D71FAB"/>
    <w:rsid w:val="00D72096"/>
    <w:rsid w:val="00D722B2"/>
    <w:rsid w:val="00D7473B"/>
    <w:rsid w:val="00D75821"/>
    <w:rsid w:val="00D75CD9"/>
    <w:rsid w:val="00D80935"/>
    <w:rsid w:val="00D818FC"/>
    <w:rsid w:val="00D85033"/>
    <w:rsid w:val="00D85937"/>
    <w:rsid w:val="00D85A4A"/>
    <w:rsid w:val="00D906DF"/>
    <w:rsid w:val="00D93E6C"/>
    <w:rsid w:val="00D966A1"/>
    <w:rsid w:val="00D96CDE"/>
    <w:rsid w:val="00DA00E1"/>
    <w:rsid w:val="00DA0FE6"/>
    <w:rsid w:val="00DA4490"/>
    <w:rsid w:val="00DA46C6"/>
    <w:rsid w:val="00DA4C2B"/>
    <w:rsid w:val="00DA5141"/>
    <w:rsid w:val="00DA6D43"/>
    <w:rsid w:val="00DB022B"/>
    <w:rsid w:val="00DB1823"/>
    <w:rsid w:val="00DB4A3A"/>
    <w:rsid w:val="00DB5069"/>
    <w:rsid w:val="00DB7B42"/>
    <w:rsid w:val="00DC2406"/>
    <w:rsid w:val="00DC3D1C"/>
    <w:rsid w:val="00DC6814"/>
    <w:rsid w:val="00DC6FC0"/>
    <w:rsid w:val="00DC7511"/>
    <w:rsid w:val="00DD053E"/>
    <w:rsid w:val="00DD3D0D"/>
    <w:rsid w:val="00DD41D9"/>
    <w:rsid w:val="00DD6714"/>
    <w:rsid w:val="00DE04B1"/>
    <w:rsid w:val="00DE1220"/>
    <w:rsid w:val="00DE491A"/>
    <w:rsid w:val="00DE5053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0E4A"/>
    <w:rsid w:val="00E111DC"/>
    <w:rsid w:val="00E1564E"/>
    <w:rsid w:val="00E17012"/>
    <w:rsid w:val="00E2073C"/>
    <w:rsid w:val="00E20909"/>
    <w:rsid w:val="00E20BBB"/>
    <w:rsid w:val="00E24D03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73FC"/>
    <w:rsid w:val="00E415A9"/>
    <w:rsid w:val="00E43F33"/>
    <w:rsid w:val="00E44D4A"/>
    <w:rsid w:val="00E44DEC"/>
    <w:rsid w:val="00E476A4"/>
    <w:rsid w:val="00E529E0"/>
    <w:rsid w:val="00E534FD"/>
    <w:rsid w:val="00E53C4A"/>
    <w:rsid w:val="00E53DC7"/>
    <w:rsid w:val="00E577DC"/>
    <w:rsid w:val="00E602F6"/>
    <w:rsid w:val="00E6066B"/>
    <w:rsid w:val="00E60AA8"/>
    <w:rsid w:val="00E6125A"/>
    <w:rsid w:val="00E626EE"/>
    <w:rsid w:val="00E63649"/>
    <w:rsid w:val="00E6500D"/>
    <w:rsid w:val="00E65CB3"/>
    <w:rsid w:val="00E71139"/>
    <w:rsid w:val="00E71F19"/>
    <w:rsid w:val="00E740A9"/>
    <w:rsid w:val="00E74E1D"/>
    <w:rsid w:val="00E7724F"/>
    <w:rsid w:val="00E77560"/>
    <w:rsid w:val="00E77655"/>
    <w:rsid w:val="00E77F8C"/>
    <w:rsid w:val="00E810D0"/>
    <w:rsid w:val="00E8138A"/>
    <w:rsid w:val="00E82466"/>
    <w:rsid w:val="00E82F91"/>
    <w:rsid w:val="00E834D6"/>
    <w:rsid w:val="00E836FE"/>
    <w:rsid w:val="00E839D2"/>
    <w:rsid w:val="00E83AD2"/>
    <w:rsid w:val="00E83DF2"/>
    <w:rsid w:val="00E8445E"/>
    <w:rsid w:val="00E844F9"/>
    <w:rsid w:val="00E85D48"/>
    <w:rsid w:val="00E86EFA"/>
    <w:rsid w:val="00E87251"/>
    <w:rsid w:val="00E87CC4"/>
    <w:rsid w:val="00E90780"/>
    <w:rsid w:val="00E91647"/>
    <w:rsid w:val="00E917FC"/>
    <w:rsid w:val="00E93489"/>
    <w:rsid w:val="00E94938"/>
    <w:rsid w:val="00E969F0"/>
    <w:rsid w:val="00E97920"/>
    <w:rsid w:val="00E97B37"/>
    <w:rsid w:val="00EA0157"/>
    <w:rsid w:val="00EA1B89"/>
    <w:rsid w:val="00EA2920"/>
    <w:rsid w:val="00EA344C"/>
    <w:rsid w:val="00EA365E"/>
    <w:rsid w:val="00EA6271"/>
    <w:rsid w:val="00EA6857"/>
    <w:rsid w:val="00EB07A3"/>
    <w:rsid w:val="00EB0E8C"/>
    <w:rsid w:val="00EB2879"/>
    <w:rsid w:val="00EB500B"/>
    <w:rsid w:val="00EB7D55"/>
    <w:rsid w:val="00EC1159"/>
    <w:rsid w:val="00EC140F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45C6"/>
    <w:rsid w:val="00ED60AD"/>
    <w:rsid w:val="00ED70C9"/>
    <w:rsid w:val="00ED7829"/>
    <w:rsid w:val="00EE23E3"/>
    <w:rsid w:val="00EE4776"/>
    <w:rsid w:val="00EE5160"/>
    <w:rsid w:val="00EE7D8F"/>
    <w:rsid w:val="00EF0BD5"/>
    <w:rsid w:val="00EF1A3F"/>
    <w:rsid w:val="00EF3943"/>
    <w:rsid w:val="00EF43F1"/>
    <w:rsid w:val="00EF6BD0"/>
    <w:rsid w:val="00F02B5A"/>
    <w:rsid w:val="00F065F3"/>
    <w:rsid w:val="00F10306"/>
    <w:rsid w:val="00F1228D"/>
    <w:rsid w:val="00F124A7"/>
    <w:rsid w:val="00F12C27"/>
    <w:rsid w:val="00F15A0A"/>
    <w:rsid w:val="00F17255"/>
    <w:rsid w:val="00F20D9D"/>
    <w:rsid w:val="00F21D8B"/>
    <w:rsid w:val="00F22721"/>
    <w:rsid w:val="00F23EE1"/>
    <w:rsid w:val="00F242D6"/>
    <w:rsid w:val="00F24CA4"/>
    <w:rsid w:val="00F24F64"/>
    <w:rsid w:val="00F26DE0"/>
    <w:rsid w:val="00F31ED7"/>
    <w:rsid w:val="00F31FD5"/>
    <w:rsid w:val="00F33D18"/>
    <w:rsid w:val="00F34322"/>
    <w:rsid w:val="00F34429"/>
    <w:rsid w:val="00F37EE0"/>
    <w:rsid w:val="00F37F95"/>
    <w:rsid w:val="00F415C9"/>
    <w:rsid w:val="00F418B6"/>
    <w:rsid w:val="00F44ECA"/>
    <w:rsid w:val="00F45981"/>
    <w:rsid w:val="00F45F4C"/>
    <w:rsid w:val="00F46131"/>
    <w:rsid w:val="00F472B3"/>
    <w:rsid w:val="00F477AA"/>
    <w:rsid w:val="00F47E33"/>
    <w:rsid w:val="00F47E54"/>
    <w:rsid w:val="00F5096B"/>
    <w:rsid w:val="00F50C2E"/>
    <w:rsid w:val="00F51721"/>
    <w:rsid w:val="00F51F79"/>
    <w:rsid w:val="00F536EB"/>
    <w:rsid w:val="00F545D8"/>
    <w:rsid w:val="00F54951"/>
    <w:rsid w:val="00F54DA1"/>
    <w:rsid w:val="00F5510E"/>
    <w:rsid w:val="00F551EE"/>
    <w:rsid w:val="00F552FE"/>
    <w:rsid w:val="00F5615B"/>
    <w:rsid w:val="00F57F3B"/>
    <w:rsid w:val="00F604AA"/>
    <w:rsid w:val="00F61520"/>
    <w:rsid w:val="00F61ADA"/>
    <w:rsid w:val="00F62632"/>
    <w:rsid w:val="00F62716"/>
    <w:rsid w:val="00F633BF"/>
    <w:rsid w:val="00F63FCE"/>
    <w:rsid w:val="00F642C5"/>
    <w:rsid w:val="00F653F3"/>
    <w:rsid w:val="00F66AAE"/>
    <w:rsid w:val="00F671BA"/>
    <w:rsid w:val="00F67DA5"/>
    <w:rsid w:val="00F71DEF"/>
    <w:rsid w:val="00F729D3"/>
    <w:rsid w:val="00F72A37"/>
    <w:rsid w:val="00F75158"/>
    <w:rsid w:val="00F75E1A"/>
    <w:rsid w:val="00F77C5B"/>
    <w:rsid w:val="00F80976"/>
    <w:rsid w:val="00F814AE"/>
    <w:rsid w:val="00F81FEA"/>
    <w:rsid w:val="00F83199"/>
    <w:rsid w:val="00F84782"/>
    <w:rsid w:val="00F84DC0"/>
    <w:rsid w:val="00F869E5"/>
    <w:rsid w:val="00F913C5"/>
    <w:rsid w:val="00F9188A"/>
    <w:rsid w:val="00F91E77"/>
    <w:rsid w:val="00F92093"/>
    <w:rsid w:val="00F95770"/>
    <w:rsid w:val="00F95E36"/>
    <w:rsid w:val="00F97862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B3EFB"/>
    <w:rsid w:val="00FB55AA"/>
    <w:rsid w:val="00FC0B9F"/>
    <w:rsid w:val="00FC12A6"/>
    <w:rsid w:val="00FC1D1B"/>
    <w:rsid w:val="00FC4E02"/>
    <w:rsid w:val="00FC5FC2"/>
    <w:rsid w:val="00FC61FD"/>
    <w:rsid w:val="00FD1463"/>
    <w:rsid w:val="00FD1716"/>
    <w:rsid w:val="00FD1826"/>
    <w:rsid w:val="00FD231D"/>
    <w:rsid w:val="00FD4419"/>
    <w:rsid w:val="00FD4D55"/>
    <w:rsid w:val="00FD6078"/>
    <w:rsid w:val="00FE0556"/>
    <w:rsid w:val="00FE09B3"/>
    <w:rsid w:val="00FE1149"/>
    <w:rsid w:val="00FE2DF7"/>
    <w:rsid w:val="00FE43D9"/>
    <w:rsid w:val="00FE4512"/>
    <w:rsid w:val="00FE4718"/>
    <w:rsid w:val="00FE5ED1"/>
    <w:rsid w:val="00FE705A"/>
    <w:rsid w:val="00FE7F3C"/>
    <w:rsid w:val="00FE7FED"/>
    <w:rsid w:val="00FF3178"/>
    <w:rsid w:val="00FF347E"/>
    <w:rsid w:val="00FF3879"/>
    <w:rsid w:val="00FF3A7A"/>
    <w:rsid w:val="00FF4AEC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uiPriority w:val="59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qFormat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DefaultParagraphFont"/>
    <w:rsid w:val="00E7724F"/>
    <w:rPr>
      <w:rFonts w:ascii="CorpoA" w:hAnsi="CorpoA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uiPriority w:val="59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22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qFormat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Theme="minorHAns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basedOn w:val="DefaultParagraphFont"/>
    <w:rsid w:val="00E7724F"/>
    <w:rPr>
      <w:rFonts w:ascii="CorpoA" w:hAnsi="Corpo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twitter.com/mercedesbenz_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mercedesbenz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media.mercedes-benz.n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3B75-6530-4E73-9EB0-1294E449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4</Pages>
  <Words>885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6042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3</cp:revision>
  <cp:lastPrinted>2013-08-20T08:43:00Z</cp:lastPrinted>
  <dcterms:created xsi:type="dcterms:W3CDTF">2015-07-06T12:53:00Z</dcterms:created>
  <dcterms:modified xsi:type="dcterms:W3CDTF">2015-07-06T12:54:00Z</dcterms:modified>
</cp:coreProperties>
</file>